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4FDC7" w14:textId="19950A37" w:rsidR="00D27116" w:rsidRPr="00D27116" w:rsidRDefault="0009470D" w:rsidP="00554DE2">
      <w:pPr>
        <w:pStyle w:val="79CHeading1"/>
        <w:numPr>
          <w:ilvl w:val="0"/>
          <w:numId w:val="0"/>
        </w:numPr>
        <w:tabs>
          <w:tab w:val="center" w:pos="4552"/>
        </w:tabs>
        <w:jc w:val="both"/>
        <w:outlineLvl w:val="0"/>
        <w:rPr>
          <w:rFonts w:cs="Arial"/>
          <w:sz w:val="20"/>
        </w:rPr>
      </w:pPr>
      <w:r>
        <w:rPr>
          <w:rFonts w:cs="Arial"/>
          <w:sz w:val="20"/>
        </w:rPr>
        <w:tab/>
      </w:r>
      <w:r w:rsidR="006B4048">
        <w:rPr>
          <w:rFonts w:cs="Arial"/>
          <w:sz w:val="20"/>
        </w:rPr>
        <w:t xml:space="preserve">SRPP </w:t>
      </w:r>
      <w:r w:rsidR="00790212" w:rsidRPr="00CB79E9">
        <w:rPr>
          <w:rStyle w:val="DummyText"/>
          <w:color w:val="000000" w:themeColor="text1"/>
          <w:sz w:val="20"/>
        </w:rPr>
        <w:t xml:space="preserve">supplementary </w:t>
      </w:r>
      <w:r w:rsidRPr="00D27116">
        <w:rPr>
          <w:rFonts w:cs="Arial"/>
          <w:sz w:val="20"/>
        </w:rPr>
        <w:t xml:space="preserve">report </w:t>
      </w:r>
      <w:r w:rsidR="00EC2BD3" w:rsidRPr="009716E8">
        <w:rPr>
          <w:rFonts w:cs="Arial"/>
          <w:bCs/>
          <w:noProof/>
          <w:sz w:val="20"/>
        </w:rPr>
        <w:t>DA-2021/</w:t>
      </w:r>
      <w:r w:rsidR="006B4048">
        <w:rPr>
          <w:rFonts w:cs="Arial"/>
          <w:bCs/>
          <w:noProof/>
          <w:sz w:val="20"/>
        </w:rPr>
        <w:t>1279</w:t>
      </w:r>
      <w:r w:rsidR="007413E7">
        <w:rPr>
          <w:rFonts w:cs="Arial"/>
          <w:bCs/>
          <w:noProof/>
          <w:sz w:val="20"/>
        </w:rPr>
        <w:t xml:space="preserve"> (</w:t>
      </w:r>
      <w:r w:rsidR="007413E7" w:rsidRPr="007413E7">
        <w:rPr>
          <w:rFonts w:cs="Arial"/>
          <w:bCs/>
          <w:noProof/>
          <w:sz w:val="20"/>
        </w:rPr>
        <w:t>PPSSTH-131</w:t>
      </w:r>
      <w:r w:rsidR="007413E7">
        <w:rPr>
          <w:rFonts w:cs="Arial"/>
          <w:bCs/>
          <w:noProof/>
          <w:sz w:val="20"/>
        </w:rPr>
        <w:t>)</w:t>
      </w:r>
    </w:p>
    <w:p w14:paraId="52C6D1E5" w14:textId="77777777" w:rsidR="00D27116" w:rsidRPr="00D27116" w:rsidRDefault="0009470D" w:rsidP="00554DE2">
      <w:pPr>
        <w:pStyle w:val="NoSpacing"/>
        <w:numPr>
          <w:ilvl w:val="0"/>
          <w:numId w:val="6"/>
        </w:numPr>
        <w:pBdr>
          <w:bottom w:val="single" w:sz="12" w:space="1" w:color="auto"/>
        </w:pBdr>
        <w:spacing w:before="240"/>
        <w:ind w:left="357" w:hanging="357"/>
        <w:jc w:val="both"/>
        <w:rPr>
          <w:rFonts w:cs="Arial"/>
          <w:b/>
          <w:szCs w:val="20"/>
        </w:rPr>
      </w:pPr>
      <w:r w:rsidRPr="00D27116">
        <w:rPr>
          <w:rFonts w:cs="Arial"/>
          <w:b/>
          <w:szCs w:val="20"/>
        </w:rPr>
        <w:t>EXECUTIVE SUMMARY</w:t>
      </w:r>
    </w:p>
    <w:p w14:paraId="2B15F615" w14:textId="52655EA7" w:rsidR="00D84B72" w:rsidRPr="00437E86" w:rsidRDefault="00D84B72" w:rsidP="00554DE2">
      <w:pPr>
        <w:pStyle w:val="79CNormal"/>
        <w:jc w:val="both"/>
        <w:rPr>
          <w:rStyle w:val="DummyText"/>
          <w:rFonts w:cs="Arial"/>
          <w:b/>
          <w:bCs/>
          <w:color w:val="000000" w:themeColor="text1"/>
          <w:sz w:val="20"/>
          <w:szCs w:val="20"/>
        </w:rPr>
      </w:pPr>
      <w:r w:rsidRPr="00437E86">
        <w:rPr>
          <w:rStyle w:val="DummyText"/>
          <w:rFonts w:cs="Arial"/>
          <w:b/>
          <w:bCs/>
          <w:color w:val="000000" w:themeColor="text1"/>
          <w:sz w:val="20"/>
          <w:szCs w:val="20"/>
        </w:rPr>
        <w:t xml:space="preserve">Reason for consideration by </w:t>
      </w:r>
      <w:r w:rsidR="00A61B62" w:rsidRPr="00437E86">
        <w:rPr>
          <w:rStyle w:val="DummyText"/>
          <w:rFonts w:cs="Arial"/>
          <w:b/>
          <w:bCs/>
          <w:color w:val="000000" w:themeColor="text1"/>
          <w:sz w:val="20"/>
          <w:szCs w:val="20"/>
        </w:rPr>
        <w:t xml:space="preserve">Local Planning Panel – Determination </w:t>
      </w:r>
    </w:p>
    <w:p w14:paraId="5B55B72F" w14:textId="7908BC5D" w:rsidR="00A71D3C" w:rsidRDefault="00A61B62" w:rsidP="00554DE2">
      <w:pPr>
        <w:pStyle w:val="79CNormal"/>
        <w:jc w:val="both"/>
        <w:rPr>
          <w:rStyle w:val="DummyText"/>
          <w:rFonts w:cs="Arial"/>
          <w:color w:val="000000" w:themeColor="text1"/>
          <w:sz w:val="20"/>
          <w:szCs w:val="20"/>
        </w:rPr>
      </w:pPr>
      <w:r>
        <w:rPr>
          <w:rStyle w:val="DummyText"/>
          <w:rFonts w:cs="Arial"/>
          <w:color w:val="000000" w:themeColor="text1"/>
          <w:sz w:val="20"/>
          <w:szCs w:val="20"/>
        </w:rPr>
        <w:t xml:space="preserve">The proposal was referred to the </w:t>
      </w:r>
      <w:r w:rsidR="00B02841">
        <w:rPr>
          <w:rStyle w:val="DummyText"/>
          <w:rFonts w:cs="Arial"/>
          <w:color w:val="000000" w:themeColor="text1"/>
          <w:sz w:val="20"/>
          <w:szCs w:val="20"/>
        </w:rPr>
        <w:t xml:space="preserve">SRPP </w:t>
      </w:r>
      <w:r w:rsidR="00B60C5C">
        <w:rPr>
          <w:rStyle w:val="DummyText"/>
          <w:rFonts w:cs="Arial"/>
          <w:color w:val="000000" w:themeColor="text1"/>
          <w:sz w:val="20"/>
          <w:szCs w:val="20"/>
        </w:rPr>
        <w:t xml:space="preserve">for determination </w:t>
      </w:r>
      <w:r>
        <w:rPr>
          <w:rStyle w:val="DummyText"/>
          <w:rFonts w:cs="Arial"/>
          <w:color w:val="000000" w:themeColor="text1"/>
          <w:sz w:val="20"/>
          <w:szCs w:val="20"/>
        </w:rPr>
        <w:t xml:space="preserve">on </w:t>
      </w:r>
      <w:r w:rsidR="008F5305">
        <w:rPr>
          <w:rStyle w:val="DummyText"/>
          <w:rFonts w:cs="Arial"/>
          <w:color w:val="000000" w:themeColor="text1"/>
          <w:sz w:val="20"/>
          <w:szCs w:val="20"/>
        </w:rPr>
        <w:t xml:space="preserve">30 August </w:t>
      </w:r>
      <w:r w:rsidR="00B60C5C">
        <w:rPr>
          <w:rStyle w:val="DummyText"/>
          <w:rFonts w:cs="Arial"/>
          <w:color w:val="000000" w:themeColor="text1"/>
          <w:sz w:val="20"/>
          <w:szCs w:val="20"/>
        </w:rPr>
        <w:t>2022</w:t>
      </w:r>
      <w:r w:rsidR="009937CE">
        <w:rPr>
          <w:rStyle w:val="DummyText"/>
          <w:rFonts w:cs="Arial"/>
          <w:color w:val="000000" w:themeColor="text1"/>
          <w:sz w:val="20"/>
          <w:szCs w:val="20"/>
        </w:rPr>
        <w:t xml:space="preserve">, being </w:t>
      </w:r>
      <w:r w:rsidR="006B4048" w:rsidRPr="001A5D95">
        <w:rPr>
          <w:rFonts w:cs="Arial"/>
          <w:color w:val="000000" w:themeColor="text1"/>
          <w:sz w:val="20"/>
          <w:szCs w:val="20"/>
        </w:rPr>
        <w:t xml:space="preserve">regionally </w:t>
      </w:r>
      <w:r w:rsidR="001A5D95" w:rsidRPr="001A5D95">
        <w:rPr>
          <w:rFonts w:cs="Arial"/>
          <w:color w:val="000000" w:themeColor="text1"/>
          <w:sz w:val="20"/>
          <w:szCs w:val="20"/>
        </w:rPr>
        <w:t>significant development requiring determination by the Regional Planning Panel (Council related development over $5 million)</w:t>
      </w:r>
      <w:r w:rsidR="006B4048">
        <w:rPr>
          <w:rFonts w:cs="Arial"/>
          <w:color w:val="000000" w:themeColor="text1"/>
          <w:sz w:val="20"/>
          <w:szCs w:val="20"/>
        </w:rPr>
        <w:t>.</w:t>
      </w:r>
      <w:r w:rsidR="008C1BAC">
        <w:rPr>
          <w:rFonts w:cs="Arial"/>
          <w:color w:val="000000" w:themeColor="text1"/>
          <w:sz w:val="20"/>
          <w:szCs w:val="20"/>
        </w:rPr>
        <w:t xml:space="preserve"> </w:t>
      </w:r>
      <w:r w:rsidR="00A512DE">
        <w:rPr>
          <w:rStyle w:val="DummyText"/>
          <w:rFonts w:cs="Arial"/>
          <w:color w:val="000000" w:themeColor="text1"/>
          <w:sz w:val="20"/>
          <w:szCs w:val="20"/>
        </w:rPr>
        <w:t xml:space="preserve">The </w:t>
      </w:r>
      <w:r w:rsidR="00233CF0">
        <w:rPr>
          <w:rStyle w:val="DummyText"/>
          <w:rFonts w:cs="Arial"/>
          <w:color w:val="000000" w:themeColor="text1"/>
          <w:sz w:val="20"/>
          <w:szCs w:val="20"/>
        </w:rPr>
        <w:t xml:space="preserve">record of the deferral at </w:t>
      </w:r>
      <w:r w:rsidR="00233CF0" w:rsidRPr="00610DB5">
        <w:rPr>
          <w:rStyle w:val="DummyText"/>
          <w:rFonts w:cs="Arial"/>
          <w:b/>
          <w:bCs/>
          <w:color w:val="000000" w:themeColor="text1"/>
          <w:sz w:val="20"/>
          <w:szCs w:val="20"/>
        </w:rPr>
        <w:t xml:space="preserve">Attachment </w:t>
      </w:r>
      <w:r w:rsidR="008C1BAC">
        <w:rPr>
          <w:rStyle w:val="DummyText"/>
          <w:rFonts w:cs="Arial"/>
          <w:b/>
          <w:bCs/>
          <w:color w:val="000000" w:themeColor="text1"/>
          <w:sz w:val="20"/>
          <w:szCs w:val="20"/>
        </w:rPr>
        <w:t>1</w:t>
      </w:r>
      <w:r w:rsidR="00233CF0">
        <w:rPr>
          <w:rStyle w:val="DummyText"/>
          <w:rFonts w:cs="Arial"/>
          <w:color w:val="000000" w:themeColor="text1"/>
          <w:sz w:val="20"/>
          <w:szCs w:val="20"/>
        </w:rPr>
        <w:t xml:space="preserve">. </w:t>
      </w:r>
      <w:r w:rsidR="00790212">
        <w:rPr>
          <w:rStyle w:val="DummyText"/>
          <w:rFonts w:cs="Arial"/>
          <w:color w:val="000000" w:themeColor="text1"/>
          <w:sz w:val="20"/>
          <w:szCs w:val="20"/>
        </w:rPr>
        <w:t>This report should be read in conjunction with eh report to the Panel of 30 August 2022.</w:t>
      </w:r>
    </w:p>
    <w:p w14:paraId="078E9839" w14:textId="626E211F" w:rsidR="00437E86" w:rsidRPr="00437E86" w:rsidRDefault="00437E86" w:rsidP="00554DE2">
      <w:pPr>
        <w:pStyle w:val="79CNormal"/>
        <w:jc w:val="both"/>
        <w:rPr>
          <w:rStyle w:val="DummyText"/>
          <w:rFonts w:cs="Arial"/>
          <w:b/>
          <w:bCs/>
          <w:color w:val="000000" w:themeColor="text1"/>
          <w:sz w:val="20"/>
          <w:szCs w:val="20"/>
        </w:rPr>
      </w:pPr>
      <w:r w:rsidRPr="00437E86">
        <w:rPr>
          <w:rStyle w:val="DummyText"/>
          <w:rFonts w:cs="Arial"/>
          <w:b/>
          <w:bCs/>
          <w:color w:val="000000" w:themeColor="text1"/>
          <w:sz w:val="20"/>
          <w:szCs w:val="20"/>
        </w:rPr>
        <w:t xml:space="preserve">Proposal </w:t>
      </w:r>
    </w:p>
    <w:p w14:paraId="35F99F78" w14:textId="28C32D96" w:rsidR="00437E86" w:rsidRDefault="00CE349E" w:rsidP="00554DE2">
      <w:pPr>
        <w:pStyle w:val="79CNormal"/>
        <w:jc w:val="both"/>
        <w:rPr>
          <w:rStyle w:val="DummyText"/>
          <w:rFonts w:cs="Arial"/>
          <w:color w:val="000000" w:themeColor="text1"/>
          <w:sz w:val="20"/>
          <w:szCs w:val="20"/>
        </w:rPr>
      </w:pPr>
      <w:r>
        <w:rPr>
          <w:rStyle w:val="DummyText"/>
          <w:rFonts w:cs="Arial"/>
          <w:color w:val="000000" w:themeColor="text1"/>
          <w:sz w:val="20"/>
          <w:szCs w:val="20"/>
        </w:rPr>
        <w:t xml:space="preserve">Warrawong District Community Centre and Library. </w:t>
      </w:r>
    </w:p>
    <w:p w14:paraId="678416EA" w14:textId="77F27719" w:rsidR="00EB4767" w:rsidRPr="00EB4767" w:rsidRDefault="00EB4767" w:rsidP="00554DE2">
      <w:pPr>
        <w:pStyle w:val="79CNormal"/>
        <w:jc w:val="both"/>
        <w:rPr>
          <w:rStyle w:val="DummyText"/>
          <w:rFonts w:cs="Arial"/>
          <w:b/>
          <w:bCs/>
          <w:color w:val="000000" w:themeColor="text1"/>
          <w:sz w:val="20"/>
          <w:szCs w:val="20"/>
        </w:rPr>
      </w:pPr>
      <w:r w:rsidRPr="00EB4767">
        <w:rPr>
          <w:rStyle w:val="DummyText"/>
          <w:rFonts w:cs="Arial"/>
          <w:b/>
          <w:bCs/>
          <w:color w:val="000000" w:themeColor="text1"/>
          <w:sz w:val="20"/>
          <w:szCs w:val="20"/>
        </w:rPr>
        <w:t xml:space="preserve">Permissibility </w:t>
      </w:r>
    </w:p>
    <w:p w14:paraId="2C517645" w14:textId="017B2910" w:rsidR="00EB4767" w:rsidRPr="00EB4767" w:rsidRDefault="00A131FC" w:rsidP="00554DE2">
      <w:pPr>
        <w:pStyle w:val="79CNormal"/>
        <w:jc w:val="both"/>
        <w:rPr>
          <w:rStyle w:val="DummyText"/>
          <w:rFonts w:cs="Arial"/>
          <w:color w:val="000000" w:themeColor="text1"/>
          <w:sz w:val="20"/>
          <w:szCs w:val="20"/>
        </w:rPr>
      </w:pPr>
      <w:r w:rsidRPr="00A131FC">
        <w:rPr>
          <w:rStyle w:val="DummyText"/>
          <w:rFonts w:cs="Arial"/>
          <w:color w:val="000000" w:themeColor="text1"/>
          <w:sz w:val="20"/>
          <w:szCs w:val="20"/>
        </w:rPr>
        <w:t>The site is zoned B3 City Centre pursuant to Wollongong Local Environmental Plan 2009. The proposal</w:t>
      </w:r>
      <w:r>
        <w:rPr>
          <w:rStyle w:val="DummyText"/>
          <w:rFonts w:cs="Arial"/>
          <w:color w:val="000000" w:themeColor="text1"/>
          <w:sz w:val="20"/>
          <w:szCs w:val="20"/>
        </w:rPr>
        <w:t xml:space="preserve"> </w:t>
      </w:r>
      <w:r w:rsidRPr="00A131FC">
        <w:rPr>
          <w:rStyle w:val="DummyText"/>
          <w:rFonts w:cs="Arial"/>
          <w:color w:val="000000" w:themeColor="text1"/>
          <w:sz w:val="20"/>
          <w:szCs w:val="20"/>
        </w:rPr>
        <w:t>is categorised as a community facility and is permissible in the zone with development consent.</w:t>
      </w:r>
    </w:p>
    <w:p w14:paraId="4C330E75" w14:textId="77777777" w:rsidR="00EB4767" w:rsidRPr="00EB4767" w:rsidRDefault="00EB4767" w:rsidP="00554DE2">
      <w:pPr>
        <w:pStyle w:val="79CNormal"/>
        <w:jc w:val="both"/>
        <w:rPr>
          <w:rStyle w:val="DummyText"/>
          <w:rFonts w:cs="Arial"/>
          <w:b/>
          <w:bCs/>
          <w:color w:val="000000" w:themeColor="text1"/>
          <w:sz w:val="20"/>
          <w:szCs w:val="20"/>
        </w:rPr>
      </w:pPr>
      <w:r w:rsidRPr="00EB4767">
        <w:rPr>
          <w:rStyle w:val="DummyText"/>
          <w:rFonts w:cs="Arial"/>
          <w:b/>
          <w:bCs/>
          <w:color w:val="000000" w:themeColor="text1"/>
          <w:sz w:val="20"/>
          <w:szCs w:val="20"/>
        </w:rPr>
        <w:t>Consultation</w:t>
      </w:r>
    </w:p>
    <w:p w14:paraId="085A99DC" w14:textId="31A4DF5F" w:rsidR="00A71D3C" w:rsidRPr="00EB4767" w:rsidRDefault="00A131FC" w:rsidP="00554DE2">
      <w:pPr>
        <w:pStyle w:val="79CNormal"/>
        <w:jc w:val="both"/>
        <w:rPr>
          <w:rStyle w:val="DummyText"/>
          <w:rFonts w:cs="Arial"/>
          <w:color w:val="000000" w:themeColor="text1"/>
          <w:sz w:val="20"/>
          <w:szCs w:val="20"/>
        </w:rPr>
      </w:pPr>
      <w:r w:rsidRPr="00A131FC">
        <w:rPr>
          <w:rStyle w:val="DummyText"/>
          <w:rFonts w:cs="Arial"/>
          <w:color w:val="000000" w:themeColor="text1"/>
          <w:sz w:val="20"/>
          <w:szCs w:val="20"/>
        </w:rPr>
        <w:t>The proposal was notified in accordance with Council’s Community Participation Plan and received one</w:t>
      </w:r>
      <w:r>
        <w:rPr>
          <w:rStyle w:val="DummyText"/>
          <w:rFonts w:cs="Arial"/>
          <w:color w:val="000000" w:themeColor="text1"/>
          <w:sz w:val="20"/>
          <w:szCs w:val="20"/>
        </w:rPr>
        <w:t xml:space="preserve"> </w:t>
      </w:r>
      <w:r w:rsidRPr="00A131FC">
        <w:rPr>
          <w:rStyle w:val="DummyText"/>
          <w:rFonts w:cs="Arial"/>
          <w:color w:val="000000" w:themeColor="text1"/>
          <w:sz w:val="20"/>
          <w:szCs w:val="20"/>
        </w:rPr>
        <w:t>(1) submission.</w:t>
      </w:r>
      <w:r>
        <w:rPr>
          <w:rStyle w:val="DummyText"/>
          <w:rFonts w:cs="Arial"/>
          <w:color w:val="000000" w:themeColor="text1"/>
          <w:sz w:val="20"/>
          <w:szCs w:val="20"/>
        </w:rPr>
        <w:t xml:space="preserve"> The amendments made to the design in response to the deferral were minor in nature and did not warrant renotification. </w:t>
      </w:r>
    </w:p>
    <w:p w14:paraId="31844FC2" w14:textId="5503232C" w:rsidR="00EB4767" w:rsidRPr="006B0FD1" w:rsidRDefault="006B0FD1" w:rsidP="00554DE2">
      <w:pPr>
        <w:pStyle w:val="79CNormal"/>
        <w:jc w:val="both"/>
        <w:rPr>
          <w:rStyle w:val="DummyText"/>
          <w:rFonts w:cs="Arial"/>
          <w:b/>
          <w:bCs/>
          <w:color w:val="000000" w:themeColor="text1"/>
          <w:sz w:val="20"/>
          <w:szCs w:val="20"/>
        </w:rPr>
      </w:pPr>
      <w:r w:rsidRPr="006B0FD1">
        <w:rPr>
          <w:rStyle w:val="DummyText"/>
          <w:rFonts w:cs="Arial"/>
          <w:b/>
          <w:bCs/>
          <w:color w:val="000000" w:themeColor="text1"/>
          <w:sz w:val="20"/>
          <w:szCs w:val="20"/>
        </w:rPr>
        <w:t>Recommendation</w:t>
      </w:r>
    </w:p>
    <w:p w14:paraId="36314529" w14:textId="19CF7191" w:rsidR="00437E86" w:rsidRDefault="00102818" w:rsidP="00554DE2">
      <w:pPr>
        <w:pStyle w:val="79CNormal"/>
        <w:jc w:val="both"/>
        <w:rPr>
          <w:rStyle w:val="DummyText"/>
          <w:rFonts w:cs="Arial"/>
          <w:color w:val="000000" w:themeColor="text1"/>
          <w:sz w:val="20"/>
          <w:szCs w:val="20"/>
        </w:rPr>
      </w:pPr>
      <w:r>
        <w:rPr>
          <w:rStyle w:val="DummyText"/>
          <w:rFonts w:cs="Arial"/>
          <w:color w:val="000000" w:themeColor="text1"/>
          <w:sz w:val="20"/>
          <w:szCs w:val="20"/>
        </w:rPr>
        <w:t xml:space="preserve">The applicant has submitted amended plans and documentation that are considered to address the concerns raised by the </w:t>
      </w:r>
      <w:r w:rsidR="00A131FC">
        <w:rPr>
          <w:rStyle w:val="DummyText"/>
          <w:rFonts w:cs="Arial"/>
          <w:color w:val="000000" w:themeColor="text1"/>
          <w:sz w:val="20"/>
          <w:szCs w:val="20"/>
        </w:rPr>
        <w:t xml:space="preserve">SRPP and </w:t>
      </w:r>
      <w:r w:rsidR="008E4D5A">
        <w:rPr>
          <w:rStyle w:val="DummyText"/>
          <w:rFonts w:cs="Arial"/>
          <w:color w:val="000000" w:themeColor="text1"/>
          <w:sz w:val="20"/>
          <w:szCs w:val="20"/>
        </w:rPr>
        <w:t>the body of this report addresses the reasons for deferral. T</w:t>
      </w:r>
      <w:r>
        <w:rPr>
          <w:rStyle w:val="DummyText"/>
          <w:rFonts w:cs="Arial"/>
          <w:color w:val="000000" w:themeColor="text1"/>
          <w:sz w:val="20"/>
          <w:szCs w:val="20"/>
        </w:rPr>
        <w:t xml:space="preserve">he application is recommended for approval subject to the draft conditions at </w:t>
      </w:r>
      <w:r w:rsidRPr="002642AF">
        <w:rPr>
          <w:rStyle w:val="DummyText"/>
          <w:rFonts w:cs="Arial"/>
          <w:b/>
          <w:bCs/>
          <w:color w:val="000000" w:themeColor="text1"/>
          <w:sz w:val="20"/>
          <w:szCs w:val="20"/>
        </w:rPr>
        <w:t xml:space="preserve">Attachment </w:t>
      </w:r>
      <w:r w:rsidR="008E4D5A">
        <w:rPr>
          <w:rStyle w:val="DummyText"/>
          <w:rFonts w:cs="Arial"/>
          <w:b/>
          <w:bCs/>
          <w:color w:val="000000" w:themeColor="text1"/>
          <w:sz w:val="20"/>
          <w:szCs w:val="20"/>
        </w:rPr>
        <w:t>4</w:t>
      </w:r>
      <w:r>
        <w:rPr>
          <w:rStyle w:val="DummyText"/>
          <w:rFonts w:cs="Arial"/>
          <w:color w:val="000000" w:themeColor="text1"/>
          <w:sz w:val="20"/>
          <w:szCs w:val="20"/>
        </w:rPr>
        <w:t xml:space="preserve">. </w:t>
      </w:r>
    </w:p>
    <w:p w14:paraId="33977E72" w14:textId="77777777" w:rsidR="00D27116" w:rsidRPr="00D27116" w:rsidRDefault="0009470D" w:rsidP="00554DE2">
      <w:pPr>
        <w:pStyle w:val="NoSpacing"/>
        <w:keepNext/>
        <w:numPr>
          <w:ilvl w:val="0"/>
          <w:numId w:val="6"/>
        </w:numPr>
        <w:pBdr>
          <w:bottom w:val="single" w:sz="12" w:space="0" w:color="auto"/>
        </w:pBdr>
        <w:spacing w:before="240"/>
        <w:jc w:val="both"/>
        <w:rPr>
          <w:rFonts w:cs="Arial"/>
          <w:b/>
          <w:szCs w:val="20"/>
        </w:rPr>
      </w:pPr>
      <w:r w:rsidRPr="00D27116">
        <w:rPr>
          <w:rFonts w:cs="Arial"/>
          <w:b/>
          <w:szCs w:val="20"/>
        </w:rPr>
        <w:t>PANEL CONSIDERATION AND DECISION:</w:t>
      </w:r>
    </w:p>
    <w:p w14:paraId="286039AD" w14:textId="09F8E595" w:rsidR="00CF7DFF" w:rsidRPr="00CB79E9" w:rsidRDefault="00CF7DFF" w:rsidP="00554DE2">
      <w:pPr>
        <w:pStyle w:val="79CNormal"/>
        <w:jc w:val="both"/>
        <w:rPr>
          <w:rStyle w:val="DummyText"/>
          <w:color w:val="000000" w:themeColor="text1"/>
          <w:sz w:val="20"/>
        </w:rPr>
      </w:pPr>
      <w:r w:rsidRPr="00CB79E9">
        <w:rPr>
          <w:rStyle w:val="DummyText"/>
          <w:color w:val="000000" w:themeColor="text1"/>
          <w:sz w:val="20"/>
        </w:rPr>
        <w:t>The panel agreed to defer the determination of the matter until a supplementary assessment report is</w:t>
      </w:r>
      <w:r w:rsidR="00CB79E9" w:rsidRPr="00CB79E9">
        <w:rPr>
          <w:rStyle w:val="DummyText"/>
          <w:color w:val="000000" w:themeColor="text1"/>
          <w:sz w:val="20"/>
        </w:rPr>
        <w:t xml:space="preserve"> </w:t>
      </w:r>
      <w:r w:rsidRPr="00CB79E9">
        <w:rPr>
          <w:rStyle w:val="DummyText"/>
          <w:color w:val="000000" w:themeColor="text1"/>
          <w:sz w:val="20"/>
        </w:rPr>
        <w:t>provided by council to address the following matters;</w:t>
      </w:r>
    </w:p>
    <w:p w14:paraId="0E915C72" w14:textId="7608659B" w:rsidR="00CF7DFF" w:rsidRPr="00CF7DFF" w:rsidRDefault="00CF7DFF" w:rsidP="00554DE2">
      <w:pPr>
        <w:pStyle w:val="NoSpacing"/>
        <w:numPr>
          <w:ilvl w:val="0"/>
          <w:numId w:val="12"/>
        </w:numPr>
        <w:ind w:left="426" w:hanging="437"/>
        <w:jc w:val="both"/>
        <w:rPr>
          <w:rFonts w:cs="Arial"/>
          <w:i/>
          <w:iCs/>
          <w:szCs w:val="20"/>
        </w:rPr>
      </w:pPr>
      <w:r w:rsidRPr="00CF7DFF">
        <w:rPr>
          <w:rFonts w:cs="Arial"/>
          <w:i/>
          <w:iCs/>
          <w:szCs w:val="20"/>
        </w:rPr>
        <w:t>car parking assessment</w:t>
      </w:r>
    </w:p>
    <w:p w14:paraId="45FD1DA8" w14:textId="3B2EF4E1" w:rsidR="00CF7DFF" w:rsidRPr="00CB79E9" w:rsidRDefault="00CF7DFF" w:rsidP="00554DE2">
      <w:pPr>
        <w:pStyle w:val="NoSpacing"/>
        <w:numPr>
          <w:ilvl w:val="0"/>
          <w:numId w:val="12"/>
        </w:numPr>
        <w:ind w:left="426" w:hanging="437"/>
        <w:jc w:val="both"/>
        <w:rPr>
          <w:rFonts w:cs="Arial"/>
          <w:i/>
          <w:iCs/>
          <w:szCs w:val="20"/>
        </w:rPr>
      </w:pPr>
      <w:r w:rsidRPr="00CB79E9">
        <w:rPr>
          <w:rFonts w:cs="Arial"/>
          <w:i/>
          <w:iCs/>
          <w:szCs w:val="20"/>
        </w:rPr>
        <w:t>arrangements for accessible parking/drop off in Greene St to reduce travel distance (compared to</w:t>
      </w:r>
      <w:r w:rsidR="00CB79E9">
        <w:rPr>
          <w:rFonts w:cs="Arial"/>
          <w:i/>
          <w:iCs/>
          <w:szCs w:val="20"/>
        </w:rPr>
        <w:t xml:space="preserve"> </w:t>
      </w:r>
      <w:r w:rsidRPr="00CB79E9">
        <w:rPr>
          <w:rFonts w:cs="Arial"/>
          <w:i/>
          <w:iCs/>
          <w:szCs w:val="20"/>
        </w:rPr>
        <w:t>accessible spaces in the proposed car park) and arrangements for covered access.</w:t>
      </w:r>
    </w:p>
    <w:p w14:paraId="1A67817D" w14:textId="13752219" w:rsidR="00CF7DFF" w:rsidRPr="00CF7DFF" w:rsidRDefault="00CF7DFF" w:rsidP="00554DE2">
      <w:pPr>
        <w:pStyle w:val="NoSpacing"/>
        <w:numPr>
          <w:ilvl w:val="0"/>
          <w:numId w:val="12"/>
        </w:numPr>
        <w:ind w:left="426" w:hanging="437"/>
        <w:jc w:val="both"/>
        <w:rPr>
          <w:rFonts w:cs="Arial"/>
          <w:i/>
          <w:iCs/>
          <w:szCs w:val="20"/>
        </w:rPr>
      </w:pPr>
      <w:r w:rsidRPr="00CF7DFF">
        <w:rPr>
          <w:rFonts w:cs="Arial"/>
          <w:i/>
          <w:iCs/>
          <w:szCs w:val="20"/>
        </w:rPr>
        <w:t>likely impacts of road closure on adjoining businesses</w:t>
      </w:r>
    </w:p>
    <w:p w14:paraId="03EDBAF6" w14:textId="3D7485D6" w:rsidR="00CF7DFF" w:rsidRPr="00F414BF" w:rsidRDefault="00CF7DFF" w:rsidP="00554DE2">
      <w:pPr>
        <w:pStyle w:val="NoSpacing"/>
        <w:numPr>
          <w:ilvl w:val="0"/>
          <w:numId w:val="12"/>
        </w:numPr>
        <w:ind w:left="426" w:hanging="437"/>
        <w:jc w:val="both"/>
        <w:rPr>
          <w:rFonts w:cs="Arial"/>
          <w:i/>
          <w:iCs/>
          <w:szCs w:val="20"/>
        </w:rPr>
      </w:pPr>
      <w:r w:rsidRPr="00F414BF">
        <w:rPr>
          <w:rFonts w:cs="Arial"/>
          <w:i/>
          <w:iCs/>
          <w:szCs w:val="20"/>
        </w:rPr>
        <w:t>physical impacts of closing the road and the need for a ROW from a risk and traffic management</w:t>
      </w:r>
      <w:r w:rsidR="00F414BF">
        <w:rPr>
          <w:rFonts w:cs="Arial"/>
          <w:i/>
          <w:iCs/>
          <w:szCs w:val="20"/>
        </w:rPr>
        <w:t xml:space="preserve"> </w:t>
      </w:r>
      <w:r w:rsidRPr="00F414BF">
        <w:rPr>
          <w:rFonts w:cs="Arial"/>
          <w:i/>
          <w:iCs/>
          <w:szCs w:val="20"/>
        </w:rPr>
        <w:t>perspective.</w:t>
      </w:r>
    </w:p>
    <w:p w14:paraId="78C3BC6A" w14:textId="3A3F383C" w:rsidR="00CF7DFF" w:rsidRPr="00CB79E9" w:rsidRDefault="00CF7DFF" w:rsidP="00554DE2">
      <w:pPr>
        <w:pStyle w:val="NoSpacing"/>
        <w:numPr>
          <w:ilvl w:val="0"/>
          <w:numId w:val="12"/>
        </w:numPr>
        <w:ind w:left="426" w:hanging="437"/>
        <w:jc w:val="both"/>
        <w:rPr>
          <w:rFonts w:cs="Arial"/>
          <w:i/>
          <w:iCs/>
          <w:szCs w:val="20"/>
        </w:rPr>
      </w:pPr>
      <w:r w:rsidRPr="00CB79E9">
        <w:rPr>
          <w:rFonts w:cs="Arial"/>
          <w:i/>
          <w:iCs/>
          <w:szCs w:val="20"/>
        </w:rPr>
        <w:t>resolution of flooding issues including floodgate impacts, BCA compliant access in the event of</w:t>
      </w:r>
      <w:r w:rsidR="00CB79E9" w:rsidRPr="00CB79E9">
        <w:rPr>
          <w:rFonts w:cs="Arial"/>
          <w:i/>
          <w:iCs/>
          <w:szCs w:val="20"/>
        </w:rPr>
        <w:t xml:space="preserve"> </w:t>
      </w:r>
      <w:r w:rsidRPr="00CB79E9">
        <w:rPr>
          <w:rFonts w:cs="Arial"/>
          <w:i/>
          <w:iCs/>
          <w:szCs w:val="20"/>
        </w:rPr>
        <w:t>flood evacuation requirements, and consideration of path of travel (including for people with a</w:t>
      </w:r>
      <w:r w:rsidR="00CB79E9">
        <w:rPr>
          <w:rFonts w:cs="Arial"/>
          <w:i/>
          <w:iCs/>
          <w:szCs w:val="20"/>
        </w:rPr>
        <w:t xml:space="preserve"> </w:t>
      </w:r>
      <w:r w:rsidRPr="00CB79E9">
        <w:rPr>
          <w:rFonts w:cs="Arial"/>
          <w:i/>
          <w:iCs/>
          <w:szCs w:val="20"/>
        </w:rPr>
        <w:t>disability)</w:t>
      </w:r>
    </w:p>
    <w:p w14:paraId="0820275F" w14:textId="265D394E" w:rsidR="00CF7DFF" w:rsidRPr="00CF7DFF" w:rsidRDefault="00CF7DFF" w:rsidP="00554DE2">
      <w:pPr>
        <w:pStyle w:val="NoSpacing"/>
        <w:numPr>
          <w:ilvl w:val="0"/>
          <w:numId w:val="12"/>
        </w:numPr>
        <w:ind w:left="426" w:hanging="437"/>
        <w:jc w:val="both"/>
        <w:rPr>
          <w:rFonts w:cs="Arial"/>
          <w:i/>
          <w:iCs/>
          <w:szCs w:val="20"/>
        </w:rPr>
      </w:pPr>
      <w:r w:rsidRPr="00CF7DFF">
        <w:rPr>
          <w:rFonts w:cs="Arial"/>
          <w:i/>
          <w:iCs/>
          <w:szCs w:val="20"/>
        </w:rPr>
        <w:t>visual illustration of how access to the facility will interface with the required floor levels</w:t>
      </w:r>
    </w:p>
    <w:p w14:paraId="2A6DEE5C" w14:textId="616C2134" w:rsidR="00CF7DFF" w:rsidRPr="00CB79E9" w:rsidRDefault="00CF7DFF" w:rsidP="00554DE2">
      <w:pPr>
        <w:pStyle w:val="NoSpacing"/>
        <w:numPr>
          <w:ilvl w:val="0"/>
          <w:numId w:val="12"/>
        </w:numPr>
        <w:ind w:left="426" w:hanging="437"/>
        <w:jc w:val="both"/>
        <w:rPr>
          <w:rFonts w:cs="Arial"/>
          <w:i/>
          <w:iCs/>
          <w:szCs w:val="20"/>
        </w:rPr>
      </w:pPr>
      <w:r w:rsidRPr="00CB79E9">
        <w:rPr>
          <w:rFonts w:cs="Arial"/>
          <w:i/>
          <w:iCs/>
          <w:szCs w:val="20"/>
        </w:rPr>
        <w:t>demonstration of compliance with LEP Clause 7.13(3) of the WLEP 2009 in relation to the number</w:t>
      </w:r>
      <w:r w:rsidR="00CB79E9" w:rsidRPr="00CB79E9">
        <w:rPr>
          <w:rFonts w:cs="Arial"/>
          <w:i/>
          <w:iCs/>
          <w:szCs w:val="20"/>
        </w:rPr>
        <w:t xml:space="preserve"> </w:t>
      </w:r>
      <w:r w:rsidRPr="00CB79E9">
        <w:rPr>
          <w:rFonts w:cs="Arial"/>
          <w:i/>
          <w:iCs/>
          <w:szCs w:val="20"/>
        </w:rPr>
        <w:t>of entrances, noting this may require submission of a Clause 4.6 variation request.</w:t>
      </w:r>
    </w:p>
    <w:p w14:paraId="565E0B2C" w14:textId="0C42A6C1" w:rsidR="00CF7DFF" w:rsidRPr="00CF7DFF" w:rsidRDefault="00CF7DFF" w:rsidP="00554DE2">
      <w:pPr>
        <w:pStyle w:val="NoSpacing"/>
        <w:numPr>
          <w:ilvl w:val="0"/>
          <w:numId w:val="12"/>
        </w:numPr>
        <w:ind w:left="426" w:hanging="437"/>
        <w:jc w:val="both"/>
        <w:rPr>
          <w:rFonts w:cs="Arial"/>
          <w:i/>
          <w:iCs/>
          <w:szCs w:val="20"/>
        </w:rPr>
      </w:pPr>
      <w:r w:rsidRPr="00CF7DFF">
        <w:rPr>
          <w:rFonts w:cs="Arial"/>
          <w:i/>
          <w:iCs/>
          <w:szCs w:val="20"/>
        </w:rPr>
        <w:t>review of condition 8 to provide greater clarity</w:t>
      </w:r>
    </w:p>
    <w:p w14:paraId="70DF8953" w14:textId="7403EBF0" w:rsidR="00CF7DFF" w:rsidRPr="00CF7DFF" w:rsidRDefault="00CF7DFF" w:rsidP="00554DE2">
      <w:pPr>
        <w:pStyle w:val="NoSpacing"/>
        <w:numPr>
          <w:ilvl w:val="0"/>
          <w:numId w:val="12"/>
        </w:numPr>
        <w:ind w:left="426" w:hanging="437"/>
        <w:jc w:val="both"/>
        <w:rPr>
          <w:rFonts w:cs="Arial"/>
          <w:i/>
          <w:iCs/>
          <w:szCs w:val="20"/>
        </w:rPr>
      </w:pPr>
      <w:r w:rsidRPr="00CF7DFF">
        <w:rPr>
          <w:rFonts w:cs="Arial"/>
          <w:i/>
          <w:iCs/>
          <w:szCs w:val="20"/>
        </w:rPr>
        <w:t>review of conditions 16 and 20 to remove any duplication</w:t>
      </w:r>
    </w:p>
    <w:p w14:paraId="4AA41609" w14:textId="557F4E5F" w:rsidR="00CF7DFF" w:rsidRPr="00CF7DFF" w:rsidRDefault="00CF7DFF" w:rsidP="00554DE2">
      <w:pPr>
        <w:pStyle w:val="NoSpacing"/>
        <w:numPr>
          <w:ilvl w:val="0"/>
          <w:numId w:val="12"/>
        </w:numPr>
        <w:ind w:left="426" w:hanging="437"/>
        <w:jc w:val="both"/>
        <w:rPr>
          <w:rFonts w:cs="Arial"/>
          <w:i/>
          <w:iCs/>
          <w:szCs w:val="20"/>
        </w:rPr>
      </w:pPr>
      <w:r w:rsidRPr="00CF7DFF">
        <w:rPr>
          <w:rFonts w:cs="Arial"/>
          <w:i/>
          <w:iCs/>
          <w:szCs w:val="20"/>
        </w:rPr>
        <w:t>inclusion of a draft condition requiring a hazardous materials survey prior to demolition</w:t>
      </w:r>
    </w:p>
    <w:p w14:paraId="336822F4" w14:textId="0FEE79D7" w:rsidR="00CF7DFF" w:rsidRPr="00CB79E9" w:rsidRDefault="00CF7DFF" w:rsidP="00554DE2">
      <w:pPr>
        <w:pStyle w:val="NoSpacing"/>
        <w:numPr>
          <w:ilvl w:val="0"/>
          <w:numId w:val="12"/>
        </w:numPr>
        <w:ind w:left="426" w:hanging="437"/>
        <w:jc w:val="both"/>
        <w:rPr>
          <w:rFonts w:cs="Arial"/>
          <w:i/>
          <w:iCs/>
          <w:szCs w:val="20"/>
        </w:rPr>
      </w:pPr>
      <w:r w:rsidRPr="00CB79E9">
        <w:rPr>
          <w:rFonts w:cs="Arial"/>
          <w:i/>
          <w:iCs/>
          <w:szCs w:val="20"/>
        </w:rPr>
        <w:t>revision of Condition 1 to include a reference to the SEE and associated technical reports (or</w:t>
      </w:r>
      <w:r w:rsidR="00CB79E9">
        <w:rPr>
          <w:rFonts w:cs="Arial"/>
          <w:i/>
          <w:iCs/>
          <w:szCs w:val="20"/>
        </w:rPr>
        <w:t xml:space="preserve"> </w:t>
      </w:r>
      <w:r w:rsidRPr="00CB79E9">
        <w:rPr>
          <w:rFonts w:cs="Arial"/>
          <w:i/>
          <w:iCs/>
          <w:szCs w:val="20"/>
        </w:rPr>
        <w:t>alternatively reference the SEE and technical reports explicitly in operational conditions). In</w:t>
      </w:r>
      <w:r w:rsidR="00CB79E9" w:rsidRPr="00CB79E9">
        <w:rPr>
          <w:rFonts w:cs="Arial"/>
          <w:i/>
          <w:iCs/>
          <w:szCs w:val="20"/>
        </w:rPr>
        <w:t xml:space="preserve"> </w:t>
      </w:r>
      <w:r w:rsidRPr="00CB79E9">
        <w:rPr>
          <w:rFonts w:cs="Arial"/>
          <w:i/>
          <w:iCs/>
          <w:szCs w:val="20"/>
        </w:rPr>
        <w:lastRenderedPageBreak/>
        <w:t>particular, the recommendations of the Douglas Partners PSI, Fire Safety Schedule, and Acoustic</w:t>
      </w:r>
      <w:r w:rsidR="00CB79E9" w:rsidRPr="00CB79E9">
        <w:rPr>
          <w:rFonts w:cs="Arial"/>
          <w:i/>
          <w:iCs/>
          <w:szCs w:val="20"/>
        </w:rPr>
        <w:t xml:space="preserve"> </w:t>
      </w:r>
      <w:r w:rsidRPr="00CB79E9">
        <w:rPr>
          <w:rFonts w:cs="Arial"/>
          <w:i/>
          <w:iCs/>
          <w:szCs w:val="20"/>
        </w:rPr>
        <w:t>Report are required to be referenced within the draft conditions of consent.</w:t>
      </w:r>
    </w:p>
    <w:p w14:paraId="6E01B079" w14:textId="0A4E284E" w:rsidR="00CF7DFF" w:rsidRPr="00CB79E9" w:rsidRDefault="00CF7DFF" w:rsidP="00554DE2">
      <w:pPr>
        <w:pStyle w:val="NoSpacing"/>
        <w:numPr>
          <w:ilvl w:val="0"/>
          <w:numId w:val="12"/>
        </w:numPr>
        <w:ind w:left="426" w:hanging="437"/>
        <w:jc w:val="both"/>
        <w:rPr>
          <w:rFonts w:cs="Arial"/>
          <w:i/>
          <w:iCs/>
          <w:szCs w:val="20"/>
        </w:rPr>
      </w:pPr>
      <w:r w:rsidRPr="00CB79E9">
        <w:rPr>
          <w:rFonts w:cs="Arial"/>
          <w:i/>
          <w:iCs/>
          <w:szCs w:val="20"/>
        </w:rPr>
        <w:t>The Council is requested to update their assessment within 4 weeks of the date of the publication of the</w:t>
      </w:r>
      <w:r w:rsidR="00CB79E9">
        <w:rPr>
          <w:rFonts w:cs="Arial"/>
          <w:i/>
          <w:iCs/>
          <w:szCs w:val="20"/>
        </w:rPr>
        <w:t xml:space="preserve"> </w:t>
      </w:r>
      <w:r w:rsidRPr="00CB79E9">
        <w:rPr>
          <w:rFonts w:cs="Arial"/>
          <w:i/>
          <w:iCs/>
          <w:szCs w:val="20"/>
        </w:rPr>
        <w:t>Record of Deferral.</w:t>
      </w:r>
    </w:p>
    <w:p w14:paraId="3D9F510F" w14:textId="49095CD6" w:rsidR="00CF7DFF" w:rsidRPr="00CB79E9" w:rsidRDefault="00CF7DFF" w:rsidP="00554DE2">
      <w:pPr>
        <w:pStyle w:val="NoSpacing"/>
        <w:numPr>
          <w:ilvl w:val="0"/>
          <w:numId w:val="12"/>
        </w:numPr>
        <w:ind w:left="426" w:hanging="437"/>
        <w:jc w:val="both"/>
        <w:rPr>
          <w:rFonts w:cs="Arial"/>
          <w:i/>
          <w:iCs/>
          <w:szCs w:val="20"/>
        </w:rPr>
      </w:pPr>
      <w:r w:rsidRPr="00CB79E9">
        <w:rPr>
          <w:rFonts w:cs="Arial"/>
          <w:i/>
          <w:iCs/>
          <w:szCs w:val="20"/>
        </w:rPr>
        <w:t>When this information has been received, the panel will determine the matter electronically. The Panel</w:t>
      </w:r>
      <w:r w:rsidR="00CB79E9">
        <w:rPr>
          <w:rFonts w:cs="Arial"/>
          <w:i/>
          <w:iCs/>
          <w:szCs w:val="20"/>
        </w:rPr>
        <w:t xml:space="preserve"> </w:t>
      </w:r>
      <w:r w:rsidRPr="00CB79E9">
        <w:rPr>
          <w:rFonts w:cs="Arial"/>
          <w:i/>
          <w:iCs/>
          <w:szCs w:val="20"/>
        </w:rPr>
        <w:t>expects an addendum assessment report from Council responding to the material and the matters raised</w:t>
      </w:r>
      <w:r w:rsidR="00CB79E9" w:rsidRPr="00CB79E9">
        <w:rPr>
          <w:rFonts w:cs="Arial"/>
          <w:i/>
          <w:iCs/>
          <w:szCs w:val="20"/>
        </w:rPr>
        <w:t xml:space="preserve"> </w:t>
      </w:r>
      <w:r w:rsidRPr="00CB79E9">
        <w:rPr>
          <w:rFonts w:cs="Arial"/>
          <w:i/>
          <w:iCs/>
          <w:szCs w:val="20"/>
        </w:rPr>
        <w:t>above.</w:t>
      </w:r>
    </w:p>
    <w:p w14:paraId="422BF300" w14:textId="77777777" w:rsidR="00D27116" w:rsidRPr="00D27116" w:rsidRDefault="0009470D" w:rsidP="00554DE2">
      <w:pPr>
        <w:pStyle w:val="NoSpacing"/>
        <w:keepNext/>
        <w:numPr>
          <w:ilvl w:val="0"/>
          <w:numId w:val="6"/>
        </w:numPr>
        <w:pBdr>
          <w:bottom w:val="single" w:sz="12" w:space="1" w:color="auto"/>
        </w:pBdr>
        <w:spacing w:before="240"/>
        <w:ind w:left="357" w:hanging="357"/>
        <w:jc w:val="both"/>
        <w:rPr>
          <w:rFonts w:cs="Arial"/>
          <w:b/>
          <w:szCs w:val="20"/>
        </w:rPr>
      </w:pPr>
      <w:r w:rsidRPr="00D27116">
        <w:rPr>
          <w:rFonts w:cs="Arial"/>
          <w:b/>
          <w:szCs w:val="20"/>
        </w:rPr>
        <w:t xml:space="preserve">ACTIONS FOLLOWING MEETING </w:t>
      </w:r>
    </w:p>
    <w:p w14:paraId="4A9D0345" w14:textId="6DA06059" w:rsidR="00EA3DE7" w:rsidRPr="00EA3DE7" w:rsidRDefault="00EA3DE7" w:rsidP="00554DE2">
      <w:pPr>
        <w:pStyle w:val="79CNormal"/>
        <w:jc w:val="both"/>
        <w:rPr>
          <w:rFonts w:cs="Times New Roman"/>
          <w:sz w:val="20"/>
          <w:szCs w:val="20"/>
          <w:lang w:eastAsia="en-AU"/>
        </w:rPr>
      </w:pPr>
      <w:r w:rsidRPr="00EA3DE7">
        <w:rPr>
          <w:rFonts w:cs="Times New Roman"/>
          <w:sz w:val="20"/>
          <w:szCs w:val="20"/>
          <w:lang w:eastAsia="en-AU"/>
        </w:rPr>
        <w:t xml:space="preserve">The </w:t>
      </w:r>
      <w:r w:rsidR="00207A0C">
        <w:rPr>
          <w:rFonts w:cs="Times New Roman"/>
          <w:sz w:val="20"/>
          <w:szCs w:val="20"/>
          <w:lang w:eastAsia="en-AU"/>
        </w:rPr>
        <w:t>matters required to be addressed</w:t>
      </w:r>
      <w:r w:rsidR="00554DE2">
        <w:rPr>
          <w:rFonts w:cs="Times New Roman"/>
          <w:sz w:val="20"/>
          <w:szCs w:val="20"/>
          <w:lang w:eastAsia="en-AU"/>
        </w:rPr>
        <w:t xml:space="preserve"> </w:t>
      </w:r>
      <w:r w:rsidRPr="00EA3DE7">
        <w:rPr>
          <w:rFonts w:cs="Times New Roman"/>
          <w:sz w:val="20"/>
          <w:szCs w:val="20"/>
          <w:lang w:eastAsia="en-AU"/>
        </w:rPr>
        <w:t xml:space="preserve">by the Panel are </w:t>
      </w:r>
      <w:r w:rsidR="00207A0C">
        <w:rPr>
          <w:rFonts w:cs="Times New Roman"/>
          <w:sz w:val="20"/>
          <w:szCs w:val="20"/>
          <w:lang w:eastAsia="en-AU"/>
        </w:rPr>
        <w:t>discussed</w:t>
      </w:r>
      <w:r w:rsidRPr="00EA3DE7">
        <w:rPr>
          <w:rFonts w:cs="Times New Roman"/>
          <w:sz w:val="20"/>
          <w:szCs w:val="20"/>
          <w:lang w:eastAsia="en-AU"/>
        </w:rPr>
        <w:t xml:space="preserve"> in turn below. </w:t>
      </w:r>
    </w:p>
    <w:p w14:paraId="264063EB" w14:textId="67CD50AE" w:rsidR="00F414BF" w:rsidRDefault="00F414BF" w:rsidP="00554DE2">
      <w:pPr>
        <w:keepNext/>
        <w:jc w:val="both"/>
        <w:rPr>
          <w:u w:val="single"/>
        </w:rPr>
      </w:pPr>
      <w:r w:rsidRPr="00F414BF">
        <w:rPr>
          <w:u w:val="single"/>
        </w:rPr>
        <w:t>Car parking assessment</w:t>
      </w:r>
    </w:p>
    <w:p w14:paraId="4ADD3939" w14:textId="263E6F61" w:rsidR="00F414BF" w:rsidRDefault="00F414BF" w:rsidP="00554DE2">
      <w:pPr>
        <w:jc w:val="both"/>
      </w:pPr>
      <w:r w:rsidRPr="00F414BF">
        <w:t xml:space="preserve">The </w:t>
      </w:r>
      <w:r>
        <w:t>application was supported by a Traffic Impact Assessment (</w:t>
      </w:r>
      <w:r w:rsidR="00C27D8F">
        <w:t>12 October 2021 prepared by TTW Structural Civil Traffic Façade</w:t>
      </w:r>
      <w:r>
        <w:t xml:space="preserve">) which undertook </w:t>
      </w:r>
      <w:r w:rsidR="000D7256">
        <w:t xml:space="preserve">surveys of parking demand and peak car park usage </w:t>
      </w:r>
      <w:r w:rsidR="00BF008B">
        <w:t xml:space="preserve">for both Thirroul Library and Community Centre and Dapto Ribbonwood Centre. </w:t>
      </w:r>
      <w:r w:rsidR="008E1B3F">
        <w:t xml:space="preserve">An excerpt of that report is contained at </w:t>
      </w:r>
      <w:r w:rsidR="008E1B3F">
        <w:fldChar w:fldCharType="begin"/>
      </w:r>
      <w:r w:rsidR="008E1B3F">
        <w:instrText xml:space="preserve"> REF _Ref113865690 \h </w:instrText>
      </w:r>
      <w:r w:rsidR="00554DE2">
        <w:instrText xml:space="preserve"> \* MERGEFORMAT </w:instrText>
      </w:r>
      <w:r w:rsidR="008E1B3F">
        <w:fldChar w:fldCharType="separate"/>
      </w:r>
      <w:r w:rsidR="008E1B3F">
        <w:t xml:space="preserve">Figure </w:t>
      </w:r>
      <w:r w:rsidR="008E1B3F">
        <w:rPr>
          <w:noProof/>
        </w:rPr>
        <w:t>1</w:t>
      </w:r>
      <w:r w:rsidR="008E1B3F">
        <w:fldChar w:fldCharType="end"/>
      </w:r>
      <w:r w:rsidR="008E1B3F">
        <w:t xml:space="preserve"> below. </w:t>
      </w:r>
    </w:p>
    <w:p w14:paraId="10DBAE45" w14:textId="77777777" w:rsidR="008E1B3F" w:rsidRDefault="008E1B3F" w:rsidP="00554DE2">
      <w:pPr>
        <w:keepNext/>
        <w:jc w:val="both"/>
      </w:pPr>
      <w:r w:rsidRPr="008E1B3F">
        <w:rPr>
          <w:noProof/>
        </w:rPr>
        <w:drawing>
          <wp:inline distT="0" distB="0" distL="0" distR="0" wp14:anchorId="6C41B6D6" wp14:editId="0A1A23AD">
            <wp:extent cx="5781675" cy="3402965"/>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81675" cy="3402965"/>
                    </a:xfrm>
                    <a:prstGeom prst="rect">
                      <a:avLst/>
                    </a:prstGeom>
                  </pic:spPr>
                </pic:pic>
              </a:graphicData>
            </a:graphic>
          </wp:inline>
        </w:drawing>
      </w:r>
    </w:p>
    <w:p w14:paraId="789F619A" w14:textId="372856F8" w:rsidR="008E1B3F" w:rsidRDefault="008E1B3F" w:rsidP="00554DE2">
      <w:pPr>
        <w:pStyle w:val="Caption"/>
        <w:jc w:val="both"/>
      </w:pPr>
      <w:bookmarkStart w:id="0" w:name="_Ref113865690"/>
      <w:r>
        <w:t xml:space="preserve">Figure </w:t>
      </w:r>
      <w:fldSimple w:instr=" SEQ Figure \* ARABIC ">
        <w:r>
          <w:rPr>
            <w:noProof/>
          </w:rPr>
          <w:t>1</w:t>
        </w:r>
      </w:fldSimple>
      <w:bookmarkEnd w:id="0"/>
      <w:r>
        <w:t>: Parking table</w:t>
      </w:r>
    </w:p>
    <w:p w14:paraId="2E1F5DB3" w14:textId="5D09AC06" w:rsidR="00BF008B" w:rsidRDefault="00BF008B" w:rsidP="00554DE2">
      <w:pPr>
        <w:jc w:val="both"/>
      </w:pPr>
      <w:r>
        <w:t xml:space="preserve">The predicted peak car parking demand for </w:t>
      </w:r>
      <w:r w:rsidR="008E1B3F">
        <w:t xml:space="preserve">the proposal </w:t>
      </w:r>
      <w:r>
        <w:t>was based on a comparison</w:t>
      </w:r>
      <w:r w:rsidR="008E1B3F">
        <w:t xml:space="preserve"> with those existing facilities</w:t>
      </w:r>
      <w:r w:rsidR="000C45BB">
        <w:t xml:space="preserve"> which resulted in </w:t>
      </w:r>
      <w:r w:rsidR="00554DE2">
        <w:t>an</w:t>
      </w:r>
      <w:r w:rsidR="000C45BB">
        <w:t xml:space="preserve"> expected peak of 38 vehicles</w:t>
      </w:r>
      <w:r w:rsidR="005F6C61">
        <w:t xml:space="preserve">. </w:t>
      </w:r>
      <w:r w:rsidR="000C45BB">
        <w:t xml:space="preserve">The proposed parking is 34 spaces, the shortfall justified through adoption of a Green Travel Plan and the </w:t>
      </w:r>
      <w:r w:rsidR="001B24F4">
        <w:t xml:space="preserve">convenient location of the site to the </w:t>
      </w:r>
      <w:r w:rsidR="0059191E">
        <w:t xml:space="preserve">Warrawong town </w:t>
      </w:r>
      <w:r w:rsidR="001B24F4">
        <w:t xml:space="preserve">centre, residential areas and public transport routes. </w:t>
      </w:r>
    </w:p>
    <w:p w14:paraId="6A692C7C" w14:textId="69F9EE49" w:rsidR="007E3139" w:rsidRDefault="005F6C61" w:rsidP="00554DE2">
      <w:pPr>
        <w:jc w:val="both"/>
      </w:pPr>
      <w:r>
        <w:t xml:space="preserve">This approach </w:t>
      </w:r>
      <w:r w:rsidR="001B24F4">
        <w:t xml:space="preserve">is consistent with </w:t>
      </w:r>
      <w:r w:rsidR="00963830">
        <w:t xml:space="preserve">section 7.4 of Chapter E3 of the </w:t>
      </w:r>
      <w:r w:rsidR="001B24F4">
        <w:t xml:space="preserve">DCP </w:t>
      </w:r>
      <w:r w:rsidR="00250DB3">
        <w:t xml:space="preserve">which </w:t>
      </w:r>
      <w:r w:rsidR="00963830">
        <w:t xml:space="preserve">notes </w:t>
      </w:r>
      <w:r w:rsidR="007E3139">
        <w:t>Council has the discretion to waive or reduce the minimum number of car spaces required for a</w:t>
      </w:r>
      <w:r w:rsidR="00963830">
        <w:t xml:space="preserve"> </w:t>
      </w:r>
      <w:r w:rsidR="007E3139">
        <w:t>particular site if the reduced provision can be justified in the accompanying Car Parking and</w:t>
      </w:r>
      <w:r w:rsidR="00963830">
        <w:t xml:space="preserve"> </w:t>
      </w:r>
      <w:r w:rsidR="007E3139">
        <w:t>Traffic Impact Assessment study, in terms of:</w:t>
      </w:r>
    </w:p>
    <w:p w14:paraId="5FDC7A18" w14:textId="77777777" w:rsidR="007E3139" w:rsidRDefault="007E3139" w:rsidP="00554DE2">
      <w:pPr>
        <w:jc w:val="both"/>
      </w:pPr>
      <w:r>
        <w:t>(a) The amount of public car spaces in the locality;</w:t>
      </w:r>
    </w:p>
    <w:p w14:paraId="2844DDE3" w14:textId="77777777" w:rsidR="007E3139" w:rsidRDefault="007E3139" w:rsidP="00554DE2">
      <w:pPr>
        <w:jc w:val="both"/>
      </w:pPr>
      <w:r>
        <w:t>(b) Proximity to public transport nodes;</w:t>
      </w:r>
    </w:p>
    <w:p w14:paraId="750107E8" w14:textId="77777777" w:rsidR="007E3139" w:rsidRDefault="007E3139" w:rsidP="00554DE2">
      <w:pPr>
        <w:jc w:val="both"/>
      </w:pPr>
      <w:r>
        <w:t>(c) Opportunity for cross utilisation with another use; and</w:t>
      </w:r>
    </w:p>
    <w:p w14:paraId="4717364F" w14:textId="77777777" w:rsidR="00963830" w:rsidRDefault="007E3139" w:rsidP="00554DE2">
      <w:pPr>
        <w:jc w:val="both"/>
      </w:pPr>
      <w:r>
        <w:lastRenderedPageBreak/>
        <w:t>(d) An empirical assessment of car parking</w:t>
      </w:r>
    </w:p>
    <w:p w14:paraId="7E993355" w14:textId="159762DE" w:rsidR="00A27B9B" w:rsidRDefault="00A27B9B" w:rsidP="00554DE2">
      <w:pPr>
        <w:jc w:val="both"/>
      </w:pPr>
      <w:r w:rsidRPr="004C7A5D">
        <w:t xml:space="preserve">With regard to public transport, the site is </w:t>
      </w:r>
      <w:proofErr w:type="spellStart"/>
      <w:r w:rsidR="004C7A5D" w:rsidRPr="004C7A5D">
        <w:t>a</w:t>
      </w:r>
      <w:proofErr w:type="spellEnd"/>
      <w:r w:rsidR="004C7A5D" w:rsidRPr="004C7A5D">
        <w:t xml:space="preserve"> short distances to </w:t>
      </w:r>
      <w:r w:rsidRPr="004C7A5D">
        <w:t xml:space="preserve">a number of bus </w:t>
      </w:r>
      <w:r w:rsidR="004C7A5D" w:rsidRPr="004C7A5D">
        <w:t>stops on Cowper Street as illustrated below.</w:t>
      </w:r>
      <w:r w:rsidR="004C7A5D">
        <w:t xml:space="preserve"> </w:t>
      </w:r>
    </w:p>
    <w:p w14:paraId="6BB88935" w14:textId="350E4E47" w:rsidR="004C7A5D" w:rsidRDefault="004C7A5D" w:rsidP="00554DE2">
      <w:pPr>
        <w:jc w:val="both"/>
      </w:pPr>
      <w:r w:rsidRPr="004C7A5D">
        <w:drawing>
          <wp:inline distT="0" distB="0" distL="0" distR="0" wp14:anchorId="00DDD7FB" wp14:editId="0CFCDB93">
            <wp:extent cx="5781675" cy="3467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81675" cy="3467100"/>
                    </a:xfrm>
                    <a:prstGeom prst="rect">
                      <a:avLst/>
                    </a:prstGeom>
                  </pic:spPr>
                </pic:pic>
              </a:graphicData>
            </a:graphic>
          </wp:inline>
        </w:drawing>
      </w:r>
    </w:p>
    <w:p w14:paraId="758CDA37" w14:textId="4840A993" w:rsidR="005F6C61" w:rsidRDefault="00963830" w:rsidP="00554DE2">
      <w:pPr>
        <w:jc w:val="both"/>
      </w:pPr>
      <w:r>
        <w:t>Th</w:t>
      </w:r>
      <w:r w:rsidR="004C7A5D">
        <w:t>e application</w:t>
      </w:r>
      <w:r>
        <w:t xml:space="preserve"> has </w:t>
      </w:r>
      <w:r w:rsidR="004C7A5D">
        <w:t xml:space="preserve">been reviewed by </w:t>
      </w:r>
      <w:r w:rsidR="005F6C61">
        <w:t>Council’s Traffic Officer</w:t>
      </w:r>
      <w:r w:rsidR="004C7A5D">
        <w:t xml:space="preserve"> who has supported the proposed parking arrangements</w:t>
      </w:r>
      <w:r w:rsidR="005F6C61">
        <w:t xml:space="preserve">. </w:t>
      </w:r>
    </w:p>
    <w:p w14:paraId="0F45E85E" w14:textId="0762BCF0" w:rsidR="00F414BF" w:rsidRDefault="001B24F4" w:rsidP="00554DE2">
      <w:pPr>
        <w:keepNext/>
        <w:jc w:val="both"/>
        <w:rPr>
          <w:u w:val="single"/>
        </w:rPr>
      </w:pPr>
      <w:r w:rsidRPr="001B24F4">
        <w:rPr>
          <w:u w:val="single"/>
        </w:rPr>
        <w:t xml:space="preserve">Arrangements </w:t>
      </w:r>
      <w:r w:rsidR="00F414BF" w:rsidRPr="001B24F4">
        <w:rPr>
          <w:u w:val="single"/>
        </w:rPr>
        <w:t>for accessible parking/drop off in Greene St to reduce travel distance (compared to accessible spaces in the proposed car park) and arrangements for covered access.</w:t>
      </w:r>
    </w:p>
    <w:p w14:paraId="71F6E521" w14:textId="6B90D0FC" w:rsidR="001B24F4" w:rsidRPr="00CD09B2" w:rsidRDefault="00CD09B2" w:rsidP="00554DE2">
      <w:pPr>
        <w:jc w:val="both"/>
      </w:pPr>
      <w:r w:rsidRPr="004C7A5D">
        <w:t xml:space="preserve">The proposal always envisaged provision of </w:t>
      </w:r>
      <w:r w:rsidR="002063FB" w:rsidRPr="004C7A5D">
        <w:t xml:space="preserve">a dedicated </w:t>
      </w:r>
      <w:r w:rsidR="000F7B8B" w:rsidRPr="004C7A5D">
        <w:t>passenger</w:t>
      </w:r>
      <w:r w:rsidR="002063FB" w:rsidRPr="004C7A5D">
        <w:t xml:space="preserve"> drop off point adjacent to the café close to the entrance to the building for people with mobility impairment. This is </w:t>
      </w:r>
      <w:r w:rsidR="00797B26" w:rsidRPr="004C7A5D">
        <w:t xml:space="preserve">however </w:t>
      </w:r>
      <w:r w:rsidR="00182BE0" w:rsidRPr="004C7A5D">
        <w:t xml:space="preserve">required to be managed separately through the Wollongong Traffic Committee. </w:t>
      </w:r>
      <w:r w:rsidR="00797B26" w:rsidRPr="004C7A5D">
        <w:t xml:space="preserve">It is worth noting that adjacent to the existing community centre on Greene Street there are </w:t>
      </w:r>
      <w:r w:rsidR="00BA611C" w:rsidRPr="004C7A5D">
        <w:t xml:space="preserve">currently </w:t>
      </w:r>
      <w:r w:rsidR="00797B26" w:rsidRPr="004C7A5D">
        <w:t>two accessible spaces on the street</w:t>
      </w:r>
      <w:r w:rsidR="00BA611C" w:rsidRPr="004C7A5D">
        <w:t>. These spaces would no longer be required at that location and could be readily transferable to the new location</w:t>
      </w:r>
      <w:r w:rsidR="00797B26" w:rsidRPr="004C7A5D">
        <w:t xml:space="preserve">. </w:t>
      </w:r>
      <w:r w:rsidR="004C7A5D">
        <w:t xml:space="preserve">Condition 10 </w:t>
      </w:r>
      <w:r w:rsidR="00A27B9B" w:rsidRPr="004C7A5D">
        <w:t xml:space="preserve">of </w:t>
      </w:r>
      <w:r w:rsidR="004C7A5D">
        <w:t xml:space="preserve">the </w:t>
      </w:r>
      <w:r w:rsidR="00A27B9B" w:rsidRPr="004C7A5D">
        <w:t xml:space="preserve">consent </w:t>
      </w:r>
      <w:r w:rsidR="004C7A5D">
        <w:t xml:space="preserve">requires </w:t>
      </w:r>
      <w:r w:rsidR="00A27B9B" w:rsidRPr="004C7A5D">
        <w:t xml:space="preserve">commencement of the Traffic Committee process following approval. </w:t>
      </w:r>
      <w:r w:rsidR="00BA611C" w:rsidRPr="004C7A5D">
        <w:t xml:space="preserve">The proposal also involves removal of a redundant </w:t>
      </w:r>
      <w:r w:rsidR="006B4ABD" w:rsidRPr="004C7A5D">
        <w:t xml:space="preserve">driveway crossing, thereby creating </w:t>
      </w:r>
      <w:r w:rsidR="0059191E" w:rsidRPr="004C7A5D">
        <w:t xml:space="preserve">the opportunity for </w:t>
      </w:r>
      <w:r w:rsidR="006B4ABD" w:rsidRPr="004C7A5D">
        <w:t xml:space="preserve">additional kerbside </w:t>
      </w:r>
      <w:r w:rsidR="00A41A2E" w:rsidRPr="004C7A5D">
        <w:t xml:space="preserve">parking </w:t>
      </w:r>
      <w:r w:rsidR="006B4ABD" w:rsidRPr="004C7A5D">
        <w:t>space on Greene Street.</w:t>
      </w:r>
      <w:r w:rsidR="006B4ABD">
        <w:t xml:space="preserve"> </w:t>
      </w:r>
    </w:p>
    <w:p w14:paraId="07F02842" w14:textId="46E4699A" w:rsidR="00F414BF" w:rsidRPr="001B24F4" w:rsidRDefault="0017775B" w:rsidP="00554DE2">
      <w:pPr>
        <w:keepNext/>
        <w:jc w:val="both"/>
        <w:rPr>
          <w:u w:val="single"/>
        </w:rPr>
      </w:pPr>
      <w:r w:rsidRPr="001B24F4">
        <w:rPr>
          <w:u w:val="single"/>
        </w:rPr>
        <w:t xml:space="preserve">Likely </w:t>
      </w:r>
      <w:r w:rsidR="00F414BF" w:rsidRPr="001B24F4">
        <w:rPr>
          <w:u w:val="single"/>
        </w:rPr>
        <w:t>impacts of road closure on adjoining businesses</w:t>
      </w:r>
    </w:p>
    <w:p w14:paraId="63E9B90E" w14:textId="0C1F7287" w:rsidR="00E01F13" w:rsidRDefault="0017775B" w:rsidP="00554DE2">
      <w:pPr>
        <w:jc w:val="both"/>
      </w:pPr>
      <w:r>
        <w:t>The proposal does not propose a road closure. The lane will remain a</w:t>
      </w:r>
      <w:r w:rsidR="001A0501">
        <w:t xml:space="preserve"> road</w:t>
      </w:r>
      <w:r w:rsidR="00E13E99">
        <w:t xml:space="preserve"> </w:t>
      </w:r>
      <w:r w:rsidR="001A0501">
        <w:t>so as</w:t>
      </w:r>
      <w:r w:rsidR="00E13E99">
        <w:t xml:space="preserve"> to maintain access for services. The repositioned </w:t>
      </w:r>
      <w:r w:rsidR="00215A30">
        <w:t xml:space="preserve">laneway </w:t>
      </w:r>
      <w:r w:rsidR="001A0501">
        <w:t xml:space="preserve">will not hinder </w:t>
      </w:r>
      <w:r w:rsidR="00E13E99">
        <w:t xml:space="preserve">access to the </w:t>
      </w:r>
      <w:r w:rsidR="001A0501">
        <w:t xml:space="preserve">small number of </w:t>
      </w:r>
      <w:r w:rsidR="00E13E99">
        <w:t xml:space="preserve">businesses that </w:t>
      </w:r>
      <w:r w:rsidR="0023599E">
        <w:t xml:space="preserve">currently utilise </w:t>
      </w:r>
      <w:r w:rsidR="001A0501">
        <w:t>it</w:t>
      </w:r>
      <w:r w:rsidR="0023599E">
        <w:t xml:space="preserve">. </w:t>
      </w:r>
      <w:r w:rsidR="00554D3D">
        <w:t xml:space="preserve">The reconfiguration will result in additional traffic and </w:t>
      </w:r>
      <w:r w:rsidR="00E509A7">
        <w:t xml:space="preserve">a slowing of movement through the lane as a result of the 90 degree parking located </w:t>
      </w:r>
      <w:r w:rsidR="003F2A76">
        <w:t>along the new section.</w:t>
      </w:r>
      <w:r w:rsidR="002344D8">
        <w:t xml:space="preserve"> </w:t>
      </w:r>
      <w:r w:rsidR="00E01F13">
        <w:t>Suitable turning movements are preserved for the likely servic</w:t>
      </w:r>
      <w:r w:rsidR="009130F7">
        <w:t>e</w:t>
      </w:r>
      <w:r w:rsidR="00E01F13">
        <w:t xml:space="preserve"> vehicles. </w:t>
      </w:r>
      <w:r w:rsidR="009130F7">
        <w:t xml:space="preserve">The northern portion of the laneway is further made </w:t>
      </w:r>
      <w:r w:rsidR="0034414F">
        <w:t xml:space="preserve">two way which will facilitate egress for businesses to Greene Street. </w:t>
      </w:r>
      <w:r w:rsidR="00225F82">
        <w:t xml:space="preserve">The reconfiguration is not expected to detrimentally impact on </w:t>
      </w:r>
      <w:r w:rsidR="00E01F13">
        <w:t xml:space="preserve">any adjoining business. </w:t>
      </w:r>
    </w:p>
    <w:p w14:paraId="234511BE" w14:textId="036EFFB3" w:rsidR="00F414BF" w:rsidRPr="001B24F4" w:rsidRDefault="00E01F13" w:rsidP="00554DE2">
      <w:pPr>
        <w:keepNext/>
        <w:jc w:val="both"/>
        <w:rPr>
          <w:u w:val="single"/>
        </w:rPr>
      </w:pPr>
      <w:r w:rsidRPr="001B24F4">
        <w:rPr>
          <w:u w:val="single"/>
        </w:rPr>
        <w:t xml:space="preserve">Physical </w:t>
      </w:r>
      <w:r w:rsidR="00F414BF" w:rsidRPr="001B24F4">
        <w:rPr>
          <w:u w:val="single"/>
        </w:rPr>
        <w:t>impacts of closing the road and the need for a ROW from a risk and traffic management perspective.</w:t>
      </w:r>
    </w:p>
    <w:p w14:paraId="68E98AC1" w14:textId="2313985F" w:rsidR="001B24F4" w:rsidRDefault="00165DDD" w:rsidP="00554DE2">
      <w:pPr>
        <w:jc w:val="both"/>
      </w:pPr>
      <w:r w:rsidRPr="003A08AD">
        <w:t>The realigned section of the lane will remain in public ownership under the management of Council</w:t>
      </w:r>
      <w:r w:rsidR="00330C4A" w:rsidRPr="003A08AD">
        <w:t xml:space="preserve"> and </w:t>
      </w:r>
      <w:r w:rsidR="004220A4" w:rsidRPr="003A08AD">
        <w:t>will not warrant a right of way as would be the case if it were private land.</w:t>
      </w:r>
      <w:r w:rsidR="004220A4">
        <w:t xml:space="preserve"> </w:t>
      </w:r>
    </w:p>
    <w:p w14:paraId="1727B5AF" w14:textId="5A2E64E6" w:rsidR="003A08AD" w:rsidRPr="00CD09B2" w:rsidRDefault="004220A4" w:rsidP="00554DE2">
      <w:pPr>
        <w:jc w:val="both"/>
      </w:pPr>
      <w:r w:rsidRPr="003C4751">
        <w:lastRenderedPageBreak/>
        <w:t xml:space="preserve">With regard to risk and traffic management, the </w:t>
      </w:r>
      <w:r w:rsidR="00153C96" w:rsidRPr="003C4751">
        <w:t xml:space="preserve">expected through traffic movement is expected to be low. </w:t>
      </w:r>
      <w:r w:rsidR="00C337F7" w:rsidRPr="003C4751">
        <w:t xml:space="preserve">There are a small number of businesses relying on access to the lane. </w:t>
      </w:r>
      <w:r w:rsidR="009A2789" w:rsidRPr="003C4751">
        <w:t xml:space="preserve">Through traffic is not significant given other convenient traffic routes to access Cowper Street from Green Street. </w:t>
      </w:r>
      <w:r w:rsidR="003A08AD" w:rsidRPr="003C4751">
        <w:t xml:space="preserve">The traffic environment is slow moving </w:t>
      </w:r>
      <w:r w:rsidR="004359BF" w:rsidRPr="003C4751">
        <w:t xml:space="preserve">by virtue of the narrow width and short length of the subject section of laneway. </w:t>
      </w:r>
      <w:r w:rsidR="00031A5C" w:rsidRPr="003C4751">
        <w:t xml:space="preserve">The entry to the lane will further be pedestrian priority with a vehicle crossing rather than kerb and gutter. </w:t>
      </w:r>
      <w:r w:rsidR="00187791" w:rsidRPr="003C4751">
        <w:t>S</w:t>
      </w:r>
      <w:r w:rsidR="003A08AD" w:rsidRPr="003C4751">
        <w:t>ight lines for vehicles</w:t>
      </w:r>
      <w:r w:rsidR="00031A5C" w:rsidRPr="003C4751">
        <w:t xml:space="preserve"> </w:t>
      </w:r>
      <w:r w:rsidR="00187791" w:rsidRPr="003C4751">
        <w:t xml:space="preserve">are not impeded by structures. </w:t>
      </w:r>
      <w:r w:rsidR="003C4751" w:rsidRPr="003C4751">
        <w:t>Conditions 36 and 37 are further recommended with regard to sight lines and installation of a traffic calming device (e.g. speed hump).</w:t>
      </w:r>
      <w:r w:rsidR="003C4751">
        <w:t xml:space="preserve"> </w:t>
      </w:r>
      <w:r w:rsidR="007839CB">
        <w:t xml:space="preserve">This has been </w:t>
      </w:r>
      <w:r w:rsidR="00EC45D0">
        <w:t xml:space="preserve">supported by Council’s Traffic Officer. </w:t>
      </w:r>
    </w:p>
    <w:p w14:paraId="2BC66E7B" w14:textId="32F35577" w:rsidR="00F414BF" w:rsidRPr="001B24F4" w:rsidRDefault="00020A13" w:rsidP="00554DE2">
      <w:pPr>
        <w:keepNext/>
        <w:jc w:val="both"/>
        <w:rPr>
          <w:u w:val="single"/>
        </w:rPr>
      </w:pPr>
      <w:r w:rsidRPr="001B24F4">
        <w:rPr>
          <w:u w:val="single"/>
        </w:rPr>
        <w:t xml:space="preserve">Resolution </w:t>
      </w:r>
      <w:r w:rsidR="00F414BF" w:rsidRPr="001B24F4">
        <w:rPr>
          <w:u w:val="single"/>
        </w:rPr>
        <w:t>of flooding issues including floodgate impacts, BCA compliant access in the event of flood evacuation requirements, and consideration of path of travel (including for people with a disability)</w:t>
      </w:r>
    </w:p>
    <w:p w14:paraId="0E024EAB" w14:textId="57A633EE" w:rsidR="00384E20" w:rsidRPr="00CD09B2" w:rsidRDefault="00384E20" w:rsidP="00554DE2">
      <w:pPr>
        <w:jc w:val="both"/>
      </w:pPr>
      <w:r w:rsidRPr="007E4166">
        <w:t xml:space="preserve">The application has been amended to comply with both flooding requirements and BCA access. This </w:t>
      </w:r>
      <w:r w:rsidR="00630216" w:rsidRPr="007E4166">
        <w:t>has been resolved through</w:t>
      </w:r>
      <w:r w:rsidR="00E84C55" w:rsidRPr="007E4166">
        <w:t xml:space="preserve"> an amendment to the contours of the landscaped forecourt area which result in reduced height of flood water adjacent to the building</w:t>
      </w:r>
      <w:r w:rsidR="002C36CA" w:rsidRPr="007E4166">
        <w:t xml:space="preserve"> and removal of the need for flood gates</w:t>
      </w:r>
      <w:r w:rsidR="00CE6252" w:rsidRPr="007E4166">
        <w:t xml:space="preserve"> at the main entry to the building</w:t>
      </w:r>
      <w:r w:rsidR="00E84C55" w:rsidRPr="007E4166">
        <w:t xml:space="preserve">. </w:t>
      </w:r>
      <w:r w:rsidR="009179B6" w:rsidRPr="007E4166">
        <w:t xml:space="preserve">Conditions </w:t>
      </w:r>
      <w:r w:rsidR="0053370A" w:rsidRPr="007E4166">
        <w:t xml:space="preserve">27 and 30 have been amended to reflect those changes and this has been supported by Council’s Manager Development Engineering. No </w:t>
      </w:r>
      <w:r w:rsidR="00C323F0" w:rsidRPr="007E4166">
        <w:t xml:space="preserve">changes were required to the building itself. </w:t>
      </w:r>
      <w:r w:rsidR="007E4166" w:rsidRPr="007E4166">
        <w:t xml:space="preserve"> The Landscape Plan has been amended as contained at </w:t>
      </w:r>
      <w:r w:rsidR="007E4166" w:rsidRPr="00663022">
        <w:rPr>
          <w:b/>
          <w:bCs/>
        </w:rPr>
        <w:t>Attachment 2</w:t>
      </w:r>
      <w:r w:rsidR="007E4166" w:rsidRPr="007E4166">
        <w:t>.</w:t>
      </w:r>
      <w:r w:rsidR="007E4166">
        <w:t xml:space="preserve"> </w:t>
      </w:r>
    </w:p>
    <w:p w14:paraId="768930F5" w14:textId="5128CB91" w:rsidR="00F414BF" w:rsidRPr="001B24F4" w:rsidRDefault="00630216" w:rsidP="00554DE2">
      <w:pPr>
        <w:keepNext/>
        <w:jc w:val="both"/>
        <w:rPr>
          <w:u w:val="single"/>
        </w:rPr>
      </w:pPr>
      <w:r w:rsidRPr="001B24F4">
        <w:rPr>
          <w:u w:val="single"/>
        </w:rPr>
        <w:t xml:space="preserve">Visual </w:t>
      </w:r>
      <w:r w:rsidR="00F414BF" w:rsidRPr="001B24F4">
        <w:rPr>
          <w:u w:val="single"/>
        </w:rPr>
        <w:t>illustration of how access to the facility will interface with the required floor levels</w:t>
      </w:r>
    </w:p>
    <w:p w14:paraId="7AD3409E" w14:textId="3A8FF9C9" w:rsidR="001B24F4" w:rsidRPr="00CD09B2" w:rsidRDefault="001B0EEF" w:rsidP="00554DE2">
      <w:pPr>
        <w:jc w:val="both"/>
      </w:pPr>
      <w:r>
        <w:t>The changes to the forecourt contours to not affect accessible paths of travel</w:t>
      </w:r>
      <w:r w:rsidR="0013598A">
        <w:t>, nor the internal floor levels</w:t>
      </w:r>
      <w:r>
        <w:t xml:space="preserve">. </w:t>
      </w:r>
      <w:r w:rsidR="0019239E">
        <w:t xml:space="preserve">Accessible paths of travel are </w:t>
      </w:r>
      <w:r w:rsidR="00AE4AC2">
        <w:t>illustrated on the Landscape Plan</w:t>
      </w:r>
      <w:r w:rsidR="0019239E">
        <w:t xml:space="preserve"> at </w:t>
      </w:r>
      <w:r w:rsidR="0019239E" w:rsidRPr="0019239E">
        <w:rPr>
          <w:b/>
          <w:bCs/>
        </w:rPr>
        <w:t>Attachment 2</w:t>
      </w:r>
      <w:r w:rsidR="00AE4AC2">
        <w:t xml:space="preserve">. </w:t>
      </w:r>
    </w:p>
    <w:p w14:paraId="082823C3" w14:textId="34BDC3D5" w:rsidR="00F414BF" w:rsidRPr="001B24F4" w:rsidRDefault="00630216" w:rsidP="00554DE2">
      <w:pPr>
        <w:keepNext/>
        <w:jc w:val="both"/>
        <w:rPr>
          <w:u w:val="single"/>
        </w:rPr>
      </w:pPr>
      <w:r w:rsidRPr="001B24F4">
        <w:rPr>
          <w:u w:val="single"/>
        </w:rPr>
        <w:t xml:space="preserve">Demonstration </w:t>
      </w:r>
      <w:r w:rsidR="00F414BF" w:rsidRPr="001B24F4">
        <w:rPr>
          <w:u w:val="single"/>
        </w:rPr>
        <w:t>of compliance with LEP Clause 7.13(3) of the WLEP 2009 in relation to the number of entrances, noting this may require submission of a Clause 4.6 variation request.</w:t>
      </w:r>
    </w:p>
    <w:p w14:paraId="0C5C6010" w14:textId="647CB975" w:rsidR="001B24F4" w:rsidRDefault="000D2E01" w:rsidP="00554DE2">
      <w:pPr>
        <w:keepNext/>
        <w:jc w:val="both"/>
      </w:pPr>
      <w:r w:rsidRPr="009B2211">
        <w:t xml:space="preserve">The applicant has submitted a clause 4.6 variation request in regard to clause 7.13 of the LEP as contained at </w:t>
      </w:r>
      <w:r w:rsidRPr="00663022">
        <w:rPr>
          <w:b/>
          <w:bCs/>
        </w:rPr>
        <w:t xml:space="preserve">Attachment </w:t>
      </w:r>
      <w:r w:rsidR="006E2FE1" w:rsidRPr="00663022">
        <w:rPr>
          <w:b/>
          <w:bCs/>
        </w:rPr>
        <w:t>3</w:t>
      </w:r>
      <w:r w:rsidR="003B36A7" w:rsidRPr="009B2211">
        <w:t xml:space="preserve">. </w:t>
      </w:r>
      <w:r w:rsidR="00A12B9E" w:rsidRPr="009B2211">
        <w:t>An assessment against clause 4.6 is contained below.</w:t>
      </w:r>
      <w:r w:rsidR="00A12B9E">
        <w:t xml:space="preserve"> </w:t>
      </w:r>
    </w:p>
    <w:tbl>
      <w:tblPr>
        <w:tblStyle w:val="Tableb"/>
        <w:tblW w:w="0" w:type="auto"/>
        <w:tblLook w:val="04A0" w:firstRow="1" w:lastRow="0" w:firstColumn="1" w:lastColumn="0" w:noHBand="0" w:noVBand="1"/>
      </w:tblPr>
      <w:tblGrid>
        <w:gridCol w:w="3040"/>
        <w:gridCol w:w="6055"/>
      </w:tblGrid>
      <w:tr w:rsidR="00CA4A4E" w:rsidRPr="00FE0D9F" w14:paraId="5D3D4630" w14:textId="77777777" w:rsidTr="00CE42E7">
        <w:tc>
          <w:tcPr>
            <w:cnfStyle w:val="001000000000" w:firstRow="0" w:lastRow="0" w:firstColumn="1" w:lastColumn="0" w:oddVBand="0" w:evenVBand="0" w:oddHBand="0" w:evenHBand="0" w:firstRowFirstColumn="0" w:firstRowLastColumn="0" w:lastRowFirstColumn="0" w:lastRowLastColumn="0"/>
            <w:tcW w:w="9242" w:type="dxa"/>
            <w:gridSpan w:val="2"/>
          </w:tcPr>
          <w:p w14:paraId="5F586591" w14:textId="77777777" w:rsidR="00CA4A4E" w:rsidRPr="00FE0D9F" w:rsidRDefault="00CA4A4E" w:rsidP="00554DE2">
            <w:pPr>
              <w:pStyle w:val="79CNormal"/>
              <w:keepNext/>
              <w:jc w:val="both"/>
            </w:pPr>
            <w:r w:rsidRPr="00FE0D9F">
              <w:t>WLEP 2009 clause 4.6</w:t>
            </w:r>
            <w:r>
              <w:t xml:space="preserve"> proposed development departure assessment</w:t>
            </w:r>
          </w:p>
        </w:tc>
      </w:tr>
      <w:tr w:rsidR="00CA4A4E" w14:paraId="20298901" w14:textId="77777777" w:rsidTr="00CE42E7">
        <w:tc>
          <w:tcPr>
            <w:cnfStyle w:val="001000000000" w:firstRow="0" w:lastRow="0" w:firstColumn="1" w:lastColumn="0" w:oddVBand="0" w:evenVBand="0" w:oddHBand="0" w:evenHBand="0" w:firstRowFirstColumn="0" w:firstRowLastColumn="0" w:lastRowFirstColumn="0" w:lastRowLastColumn="0"/>
            <w:tcW w:w="3085" w:type="dxa"/>
          </w:tcPr>
          <w:p w14:paraId="12BA8977" w14:textId="77777777" w:rsidR="00CA4A4E" w:rsidRPr="009E2492" w:rsidRDefault="00CA4A4E" w:rsidP="00554DE2">
            <w:pPr>
              <w:pStyle w:val="79CNormal"/>
              <w:keepNext/>
              <w:jc w:val="both"/>
            </w:pPr>
            <w:r w:rsidRPr="009E2492">
              <w:t>Development departure</w:t>
            </w:r>
          </w:p>
        </w:tc>
        <w:tc>
          <w:tcPr>
            <w:tcW w:w="6157" w:type="dxa"/>
          </w:tcPr>
          <w:p w14:paraId="73CC844D" w14:textId="77777777" w:rsidR="00271D59" w:rsidRDefault="00271D59" w:rsidP="00271D59">
            <w:pPr>
              <w:pStyle w:val="79CNormal"/>
              <w:keepNext/>
              <w:jc w:val="both"/>
              <w:cnfStyle w:val="000000000000" w:firstRow="0" w:lastRow="0" w:firstColumn="0" w:lastColumn="0" w:oddVBand="0" w:evenVBand="0" w:oddHBand="0" w:evenHBand="0" w:firstRowFirstColumn="0" w:firstRowLastColumn="0" w:lastRowFirstColumn="0" w:lastRowLastColumn="0"/>
            </w:pPr>
            <w:r>
              <w:t xml:space="preserve">7.13 Certain land within business zones </w:t>
            </w:r>
          </w:p>
          <w:p w14:paraId="07FC7470" w14:textId="64221BBF" w:rsidR="00271D59" w:rsidRDefault="00271D59" w:rsidP="00271D59">
            <w:pPr>
              <w:pStyle w:val="79CNormal"/>
              <w:keepNext/>
              <w:ind w:left="394" w:hanging="394"/>
              <w:jc w:val="both"/>
              <w:cnfStyle w:val="000000000000" w:firstRow="0" w:lastRow="0" w:firstColumn="0" w:lastColumn="0" w:oddVBand="0" w:evenVBand="0" w:oddHBand="0" w:evenHBand="0" w:firstRowFirstColumn="0" w:firstRowLastColumn="0" w:lastRowFirstColumn="0" w:lastRowLastColumn="0"/>
            </w:pPr>
            <w:r>
              <w:t>(1)</w:t>
            </w:r>
            <w:r>
              <w:tab/>
              <w:t>The objective of this clause is to ensure active uses are provided at the street level to encourage the presence and movement of people.</w:t>
            </w:r>
          </w:p>
          <w:p w14:paraId="7B0BA6E7" w14:textId="131A8783" w:rsidR="00271D59" w:rsidRDefault="00271D59" w:rsidP="00271D59">
            <w:pPr>
              <w:pStyle w:val="79CNormal"/>
              <w:keepNext/>
              <w:ind w:left="394" w:hanging="394"/>
              <w:jc w:val="both"/>
              <w:cnfStyle w:val="000000000000" w:firstRow="0" w:lastRow="0" w:firstColumn="0" w:lastColumn="0" w:oddVBand="0" w:evenVBand="0" w:oddHBand="0" w:evenHBand="0" w:firstRowFirstColumn="0" w:firstRowLastColumn="0" w:lastRowFirstColumn="0" w:lastRowLastColumn="0"/>
            </w:pPr>
            <w:r>
              <w:t>(2)</w:t>
            </w:r>
            <w:r>
              <w:tab/>
              <w:t>This clause applies to land in Zone B1 Neighbourhood Centre, Zone B2 Local Centre, Zone B3 Commercial Core or Zone B4 Mixed Use, but does not apply to land to which clause 7.19 applies.</w:t>
            </w:r>
          </w:p>
          <w:p w14:paraId="090EF14B" w14:textId="12A8C9CE" w:rsidR="00271D59" w:rsidRDefault="00271D59" w:rsidP="00271D59">
            <w:pPr>
              <w:pStyle w:val="79CNormal"/>
              <w:keepNext/>
              <w:ind w:left="394" w:hanging="394"/>
              <w:jc w:val="both"/>
              <w:cnfStyle w:val="000000000000" w:firstRow="0" w:lastRow="0" w:firstColumn="0" w:lastColumn="0" w:oddVBand="0" w:evenVBand="0" w:oddHBand="0" w:evenHBand="0" w:firstRowFirstColumn="0" w:firstRowLastColumn="0" w:lastRowFirstColumn="0" w:lastRowLastColumn="0"/>
            </w:pPr>
            <w:r>
              <w:t>(3)</w:t>
            </w:r>
            <w:r>
              <w:tab/>
              <w:t>Development consent must not be granted for development for the purpose of a building on land to which this clause applies unless the consent authority is satisfied that the ground floor of the building--</w:t>
            </w:r>
          </w:p>
          <w:p w14:paraId="1D4B8A03" w14:textId="2D77D33C" w:rsidR="00271D59" w:rsidRDefault="00271D59" w:rsidP="00271D59">
            <w:pPr>
              <w:pStyle w:val="79CNormal"/>
              <w:keepNext/>
              <w:ind w:left="819" w:hanging="425"/>
              <w:jc w:val="both"/>
              <w:cnfStyle w:val="000000000000" w:firstRow="0" w:lastRow="0" w:firstColumn="0" w:lastColumn="0" w:oddVBand="0" w:evenVBand="0" w:oddHBand="0" w:evenHBand="0" w:firstRowFirstColumn="0" w:firstRowLastColumn="0" w:lastRowFirstColumn="0" w:lastRowLastColumn="0"/>
            </w:pPr>
            <w:r>
              <w:t>(a)</w:t>
            </w:r>
            <w:r>
              <w:tab/>
              <w:t>will not be used for the purpose of residential accommodation, and</w:t>
            </w:r>
          </w:p>
          <w:p w14:paraId="19384E88" w14:textId="42CF3372" w:rsidR="00CA4A4E" w:rsidRPr="00271D59" w:rsidRDefault="00271D59" w:rsidP="00271D59">
            <w:pPr>
              <w:pStyle w:val="79CNormal"/>
              <w:keepNext/>
              <w:ind w:left="819" w:hanging="425"/>
              <w:jc w:val="both"/>
              <w:cnfStyle w:val="000000000000" w:firstRow="0" w:lastRow="0" w:firstColumn="0" w:lastColumn="0" w:oddVBand="0" w:evenVBand="0" w:oddHBand="0" w:evenHBand="0" w:firstRowFirstColumn="0" w:firstRowLastColumn="0" w:lastRowFirstColumn="0" w:lastRowLastColumn="0"/>
              <w:rPr>
                <w:b/>
                <w:bCs/>
              </w:rPr>
            </w:pPr>
            <w:r w:rsidRPr="00271D59">
              <w:rPr>
                <w:b/>
                <w:bCs/>
              </w:rPr>
              <w:t>(b)</w:t>
            </w:r>
            <w:r w:rsidRPr="00271D59">
              <w:rPr>
                <w:b/>
                <w:bCs/>
              </w:rPr>
              <w:tab/>
              <w:t>will have at least one entrance and at least one other door or window on the front of the building facing the street other than a service lane.</w:t>
            </w:r>
          </w:p>
        </w:tc>
      </w:tr>
      <w:tr w:rsidR="00CA4A4E" w:rsidRPr="00FE0D9F" w14:paraId="3098D39A" w14:textId="77777777" w:rsidTr="00CE42E7">
        <w:tc>
          <w:tcPr>
            <w:cnfStyle w:val="001000000000" w:firstRow="0" w:lastRow="0" w:firstColumn="1" w:lastColumn="0" w:oddVBand="0" w:evenVBand="0" w:oddHBand="0" w:evenHBand="0" w:firstRowFirstColumn="0" w:firstRowLastColumn="0" w:lastRowFirstColumn="0" w:lastRowLastColumn="0"/>
            <w:tcW w:w="3085" w:type="dxa"/>
          </w:tcPr>
          <w:p w14:paraId="7479BDC8" w14:textId="77777777" w:rsidR="00CA4A4E" w:rsidRPr="009E2492" w:rsidRDefault="00CA4A4E" w:rsidP="00554DE2">
            <w:pPr>
              <w:pStyle w:val="79CNormal"/>
              <w:jc w:val="both"/>
            </w:pPr>
            <w:r w:rsidRPr="009E2492">
              <w:t>Is the planning control in question a development standard</w:t>
            </w:r>
          </w:p>
        </w:tc>
        <w:tc>
          <w:tcPr>
            <w:tcW w:w="6157" w:type="dxa"/>
          </w:tcPr>
          <w:p w14:paraId="7D729A5D" w14:textId="2246EC9F" w:rsidR="00CA4A4E" w:rsidRPr="009E2492" w:rsidRDefault="009E2492" w:rsidP="00554DE2">
            <w:pPr>
              <w:pStyle w:val="79CNormal"/>
              <w:jc w:val="both"/>
              <w:cnfStyle w:val="000000000000" w:firstRow="0" w:lastRow="0" w:firstColumn="0" w:lastColumn="0" w:oddVBand="0" w:evenVBand="0" w:oddHBand="0" w:evenHBand="0" w:firstRowFirstColumn="0" w:firstRowLastColumn="0" w:lastRowFirstColumn="0" w:lastRowLastColumn="0"/>
            </w:pPr>
            <w:r w:rsidRPr="009E2492">
              <w:t>Yes</w:t>
            </w:r>
          </w:p>
        </w:tc>
      </w:tr>
      <w:tr w:rsidR="00CA4A4E" w14:paraId="34AC3A62" w14:textId="77777777" w:rsidTr="00CE42E7">
        <w:tc>
          <w:tcPr>
            <w:cnfStyle w:val="001000000000" w:firstRow="0" w:lastRow="0" w:firstColumn="1" w:lastColumn="0" w:oddVBand="0" w:evenVBand="0" w:oddHBand="0" w:evenHBand="0" w:firstRowFirstColumn="0" w:firstRowLastColumn="0" w:lastRowFirstColumn="0" w:lastRowLastColumn="0"/>
            <w:tcW w:w="9242" w:type="dxa"/>
            <w:gridSpan w:val="2"/>
          </w:tcPr>
          <w:p w14:paraId="71FA917C" w14:textId="77777777" w:rsidR="00CA4A4E" w:rsidRPr="009E2492" w:rsidRDefault="00CA4A4E" w:rsidP="00554DE2">
            <w:pPr>
              <w:pStyle w:val="79CNormal"/>
              <w:jc w:val="both"/>
            </w:pPr>
            <w:r w:rsidRPr="009E2492">
              <w:t>4.6 (3) Written request submitted by applicant contains a justification:</w:t>
            </w:r>
          </w:p>
        </w:tc>
      </w:tr>
      <w:tr w:rsidR="00CA4A4E" w14:paraId="0E4C7558" w14:textId="77777777" w:rsidTr="00CE42E7">
        <w:tc>
          <w:tcPr>
            <w:cnfStyle w:val="001000000000" w:firstRow="0" w:lastRow="0" w:firstColumn="1" w:lastColumn="0" w:oddVBand="0" w:evenVBand="0" w:oddHBand="0" w:evenHBand="0" w:firstRowFirstColumn="0" w:firstRowLastColumn="0" w:lastRowFirstColumn="0" w:lastRowLastColumn="0"/>
            <w:tcW w:w="3085" w:type="dxa"/>
          </w:tcPr>
          <w:p w14:paraId="4E4890A6" w14:textId="77777777" w:rsidR="00CA4A4E" w:rsidRPr="009E2492" w:rsidRDefault="00CA4A4E" w:rsidP="00554DE2">
            <w:pPr>
              <w:pStyle w:val="79CNormal"/>
              <w:jc w:val="both"/>
            </w:pPr>
            <w:r w:rsidRPr="00BE0E83">
              <w:t xml:space="preserve">that compliance with the development standard is unreasonable or unnecessary in </w:t>
            </w:r>
            <w:r w:rsidRPr="00BE0E83">
              <w:lastRenderedPageBreak/>
              <w:t>the circumstances of the case, and</w:t>
            </w:r>
          </w:p>
        </w:tc>
        <w:tc>
          <w:tcPr>
            <w:tcW w:w="6157" w:type="dxa"/>
          </w:tcPr>
          <w:p w14:paraId="50E22258" w14:textId="548C4C29" w:rsidR="00CA4A4E" w:rsidRPr="009E2492" w:rsidRDefault="009E2492" w:rsidP="00554DE2">
            <w:pPr>
              <w:pStyle w:val="79CNormal"/>
              <w:jc w:val="both"/>
              <w:cnfStyle w:val="000000000000" w:firstRow="0" w:lastRow="0" w:firstColumn="0" w:lastColumn="0" w:oddVBand="0" w:evenVBand="0" w:oddHBand="0" w:evenHBand="0" w:firstRowFirstColumn="0" w:firstRowLastColumn="0" w:lastRowFirstColumn="0" w:lastRowLastColumn="0"/>
            </w:pPr>
            <w:r w:rsidRPr="009E2492">
              <w:lastRenderedPageBreak/>
              <w:t>Yes</w:t>
            </w:r>
          </w:p>
        </w:tc>
      </w:tr>
      <w:tr w:rsidR="00CA4A4E" w14:paraId="47033617" w14:textId="77777777" w:rsidTr="00CE42E7">
        <w:tc>
          <w:tcPr>
            <w:cnfStyle w:val="001000000000" w:firstRow="0" w:lastRow="0" w:firstColumn="1" w:lastColumn="0" w:oddVBand="0" w:evenVBand="0" w:oddHBand="0" w:evenHBand="0" w:firstRowFirstColumn="0" w:firstRowLastColumn="0" w:lastRowFirstColumn="0" w:lastRowLastColumn="0"/>
            <w:tcW w:w="3085" w:type="dxa"/>
          </w:tcPr>
          <w:p w14:paraId="263E6F9C" w14:textId="77777777" w:rsidR="00CA4A4E" w:rsidRPr="009E2492" w:rsidRDefault="00CA4A4E" w:rsidP="00554DE2">
            <w:pPr>
              <w:pStyle w:val="79CNormal"/>
              <w:jc w:val="both"/>
            </w:pPr>
            <w:r w:rsidRPr="00BE0E83">
              <w:t>that there are sufficient environmental planning grounds to justify contravening the development standard</w:t>
            </w:r>
            <w:r w:rsidRPr="009E2492">
              <w:rPr>
                <w:color w:val="000000"/>
                <w:shd w:val="clear" w:color="auto" w:fill="FFFFFF"/>
              </w:rPr>
              <w:t>.</w:t>
            </w:r>
          </w:p>
        </w:tc>
        <w:tc>
          <w:tcPr>
            <w:tcW w:w="6157" w:type="dxa"/>
          </w:tcPr>
          <w:p w14:paraId="444C87D1" w14:textId="2AF9F175" w:rsidR="00CA4A4E" w:rsidRPr="009E2492" w:rsidRDefault="009E2492" w:rsidP="00554DE2">
            <w:pPr>
              <w:pStyle w:val="79CNormal"/>
              <w:jc w:val="both"/>
              <w:cnfStyle w:val="000000000000" w:firstRow="0" w:lastRow="0" w:firstColumn="0" w:lastColumn="0" w:oddVBand="0" w:evenVBand="0" w:oddHBand="0" w:evenHBand="0" w:firstRowFirstColumn="0" w:firstRowLastColumn="0" w:lastRowFirstColumn="0" w:lastRowLastColumn="0"/>
            </w:pPr>
            <w:r w:rsidRPr="009E2492">
              <w:t xml:space="preserve">Yes </w:t>
            </w:r>
          </w:p>
        </w:tc>
      </w:tr>
      <w:tr w:rsidR="00CA4A4E" w14:paraId="468B87C0" w14:textId="77777777" w:rsidTr="00CE42E7">
        <w:tc>
          <w:tcPr>
            <w:cnfStyle w:val="001000000000" w:firstRow="0" w:lastRow="0" w:firstColumn="1" w:lastColumn="0" w:oddVBand="0" w:evenVBand="0" w:oddHBand="0" w:evenHBand="0" w:firstRowFirstColumn="0" w:firstRowLastColumn="0" w:lastRowFirstColumn="0" w:lastRowLastColumn="0"/>
            <w:tcW w:w="9242" w:type="dxa"/>
            <w:gridSpan w:val="2"/>
          </w:tcPr>
          <w:p w14:paraId="613EF00A" w14:textId="77777777" w:rsidR="00CA4A4E" w:rsidRDefault="00CA4A4E" w:rsidP="00554DE2">
            <w:pPr>
              <w:pStyle w:val="79CNormal"/>
              <w:jc w:val="both"/>
            </w:pPr>
            <w:r w:rsidRPr="00F91A67">
              <w:t>4.6 (4) (a) Consent authority is satisfied that:</w:t>
            </w:r>
          </w:p>
        </w:tc>
      </w:tr>
      <w:tr w:rsidR="00CA4A4E" w14:paraId="07C19FBE" w14:textId="77777777" w:rsidTr="00CE42E7">
        <w:tc>
          <w:tcPr>
            <w:cnfStyle w:val="001000000000" w:firstRow="0" w:lastRow="0" w:firstColumn="1" w:lastColumn="0" w:oddVBand="0" w:evenVBand="0" w:oddHBand="0" w:evenHBand="0" w:firstRowFirstColumn="0" w:firstRowLastColumn="0" w:lastRowFirstColumn="0" w:lastRowLastColumn="0"/>
            <w:tcW w:w="3085" w:type="dxa"/>
          </w:tcPr>
          <w:p w14:paraId="71E39B9A" w14:textId="77777777" w:rsidR="00CA4A4E" w:rsidRDefault="00CA4A4E" w:rsidP="00554DE2">
            <w:pPr>
              <w:pStyle w:val="79CNormal"/>
              <w:jc w:val="both"/>
            </w:pPr>
            <w:r w:rsidRPr="00BE0E83">
              <w:t>the applicant’s written request has adequately addressed the matters required to be demonstrated by subclause (3), and</w:t>
            </w:r>
          </w:p>
        </w:tc>
        <w:tc>
          <w:tcPr>
            <w:tcW w:w="6157" w:type="dxa"/>
          </w:tcPr>
          <w:p w14:paraId="7FCCD6CD" w14:textId="77777777" w:rsidR="00B23290" w:rsidRDefault="00B23290" w:rsidP="00554DE2">
            <w:pPr>
              <w:pStyle w:val="79CNormal"/>
              <w:jc w:val="both"/>
              <w:cnfStyle w:val="000000000000" w:firstRow="0" w:lastRow="0" w:firstColumn="0" w:lastColumn="0" w:oddVBand="0" w:evenVBand="0" w:oddHBand="0" w:evenHBand="0" w:firstRowFirstColumn="0" w:firstRowLastColumn="0" w:lastRowFirstColumn="0" w:lastRowLastColumn="0"/>
            </w:pPr>
            <w:r>
              <w:t xml:space="preserve">The written request has adequately addressed the matters required to be addressed under subclause (3) and is based on the following rationale: </w:t>
            </w:r>
          </w:p>
          <w:p w14:paraId="0D08A92A" w14:textId="77777777" w:rsidR="008B6FF6" w:rsidRDefault="00827B7D" w:rsidP="00B23290">
            <w:pPr>
              <w:pStyle w:val="79CNormal"/>
              <w:numPr>
                <w:ilvl w:val="0"/>
                <w:numId w:val="16"/>
              </w:numPr>
              <w:jc w:val="both"/>
              <w:cnfStyle w:val="000000000000" w:firstRow="0" w:lastRow="0" w:firstColumn="0" w:lastColumn="0" w:oddVBand="0" w:evenVBand="0" w:oddHBand="0" w:evenHBand="0" w:firstRowFirstColumn="0" w:firstRowLastColumn="0" w:lastRowFirstColumn="0" w:lastRowLastColumn="0"/>
            </w:pPr>
            <w:r>
              <w:t xml:space="preserve">Entry from King Street is not considered </w:t>
            </w:r>
            <w:r w:rsidR="00D95015">
              <w:t xml:space="preserve">ideal given the pedestrian environment on King Street is characterised by heavy vehicle traffic. </w:t>
            </w:r>
          </w:p>
          <w:p w14:paraId="0DE6979A" w14:textId="77777777" w:rsidR="00D95015" w:rsidRDefault="00D95015" w:rsidP="00B23290">
            <w:pPr>
              <w:pStyle w:val="79CNormal"/>
              <w:numPr>
                <w:ilvl w:val="0"/>
                <w:numId w:val="16"/>
              </w:numPr>
              <w:jc w:val="both"/>
              <w:cnfStyle w:val="000000000000" w:firstRow="0" w:lastRow="0" w:firstColumn="0" w:lastColumn="0" w:oddVBand="0" w:evenVBand="0" w:oddHBand="0" w:evenHBand="0" w:firstRowFirstColumn="0" w:firstRowLastColumn="0" w:lastRowFirstColumn="0" w:lastRowLastColumn="0"/>
            </w:pPr>
            <w:r>
              <w:t xml:space="preserve">The main entry facing the public square, lane and car parking provides an integrated </w:t>
            </w:r>
            <w:r w:rsidR="005109CE">
              <w:t xml:space="preserve">space connecting visitors into the building. </w:t>
            </w:r>
          </w:p>
          <w:p w14:paraId="4E8FAF96" w14:textId="77777777" w:rsidR="005109CE" w:rsidRDefault="005109CE" w:rsidP="00B23290">
            <w:pPr>
              <w:pStyle w:val="79CNormal"/>
              <w:numPr>
                <w:ilvl w:val="0"/>
                <w:numId w:val="16"/>
              </w:numPr>
              <w:jc w:val="both"/>
              <w:cnfStyle w:val="000000000000" w:firstRow="0" w:lastRow="0" w:firstColumn="0" w:lastColumn="0" w:oddVBand="0" w:evenVBand="0" w:oddHBand="0" w:evenHBand="0" w:firstRowFirstColumn="0" w:firstRowLastColumn="0" w:lastRowFirstColumn="0" w:lastRowLastColumn="0"/>
            </w:pPr>
            <w:r>
              <w:t xml:space="preserve">Whilst there is not a direct door to Greene Street, the end of the terrace area opens directly to the street and is a clearly visible access point into the building. This is not dissimilar to a recessed door or foyer entry. </w:t>
            </w:r>
          </w:p>
          <w:p w14:paraId="63BD1E1F" w14:textId="77777777" w:rsidR="00B23290" w:rsidRDefault="005109CE" w:rsidP="00B23290">
            <w:pPr>
              <w:pStyle w:val="79CNormal"/>
              <w:numPr>
                <w:ilvl w:val="0"/>
                <w:numId w:val="16"/>
              </w:numPr>
              <w:jc w:val="both"/>
              <w:cnfStyle w:val="000000000000" w:firstRow="0" w:lastRow="0" w:firstColumn="0" w:lastColumn="0" w:oddVBand="0" w:evenVBand="0" w:oddHBand="0" w:evenHBand="0" w:firstRowFirstColumn="0" w:firstRowLastColumn="0" w:lastRowFirstColumn="0" w:lastRowLastColumn="0"/>
            </w:pPr>
            <w:r>
              <w:t xml:space="preserve">The </w:t>
            </w:r>
            <w:r w:rsidR="00AA39CE">
              <w:t>layout also responds to the flooding constraints and necessary levels.</w:t>
            </w:r>
          </w:p>
          <w:p w14:paraId="692D3E73" w14:textId="624DF501" w:rsidR="005109CE" w:rsidRPr="001F6D4A" w:rsidRDefault="00AA39CE" w:rsidP="00B23290">
            <w:pPr>
              <w:pStyle w:val="79CNormal"/>
              <w:numPr>
                <w:ilvl w:val="0"/>
                <w:numId w:val="16"/>
              </w:numPr>
              <w:jc w:val="both"/>
              <w:cnfStyle w:val="000000000000" w:firstRow="0" w:lastRow="0" w:firstColumn="0" w:lastColumn="0" w:oddVBand="0" w:evenVBand="0" w:oddHBand="0" w:evenHBand="0" w:firstRowFirstColumn="0" w:firstRowLastColumn="0" w:lastRowFirstColumn="0" w:lastRowLastColumn="0"/>
            </w:pPr>
            <w:r>
              <w:t xml:space="preserve">An entry to King Street would present challenges in achieving </w:t>
            </w:r>
            <w:r w:rsidR="000A66B8">
              <w:t xml:space="preserve">accessible travel due to the level change. </w:t>
            </w:r>
          </w:p>
        </w:tc>
      </w:tr>
      <w:tr w:rsidR="00CA4A4E" w14:paraId="7935DA22" w14:textId="77777777" w:rsidTr="00CE42E7">
        <w:tc>
          <w:tcPr>
            <w:cnfStyle w:val="001000000000" w:firstRow="0" w:lastRow="0" w:firstColumn="1" w:lastColumn="0" w:oddVBand="0" w:evenVBand="0" w:oddHBand="0" w:evenHBand="0" w:firstRowFirstColumn="0" w:firstRowLastColumn="0" w:lastRowFirstColumn="0" w:lastRowLastColumn="0"/>
            <w:tcW w:w="3085" w:type="dxa"/>
          </w:tcPr>
          <w:p w14:paraId="2A19E6F6" w14:textId="77777777" w:rsidR="00CA4A4E" w:rsidRDefault="00CA4A4E" w:rsidP="00554DE2">
            <w:pPr>
              <w:pStyle w:val="79CNormal"/>
              <w:jc w:val="both"/>
            </w:pPr>
            <w:r w:rsidRPr="00BE0E83">
              <w:t>the proposed development will be in the public interest because it is consistent with the objectives of the particular standard and the objectives for development within the zone in which the development is proposed to be carried out, and</w:t>
            </w:r>
          </w:p>
        </w:tc>
        <w:tc>
          <w:tcPr>
            <w:tcW w:w="6157" w:type="dxa"/>
          </w:tcPr>
          <w:p w14:paraId="58BBCFE2" w14:textId="1412E418" w:rsidR="00B23290" w:rsidRDefault="0023319E" w:rsidP="00554DE2">
            <w:pPr>
              <w:pStyle w:val="79CNormal"/>
              <w:jc w:val="both"/>
              <w:cnfStyle w:val="000000000000" w:firstRow="0" w:lastRow="0" w:firstColumn="0" w:lastColumn="0" w:oddVBand="0" w:evenVBand="0" w:oddHBand="0" w:evenHBand="0" w:firstRowFirstColumn="0" w:firstRowLastColumn="0" w:lastRowFirstColumn="0" w:lastRowLastColumn="0"/>
            </w:pPr>
            <w:r w:rsidRPr="009B2211">
              <w:t xml:space="preserve">The objective of the standard </w:t>
            </w:r>
            <w:r w:rsidR="00AC760B" w:rsidRPr="009B2211">
              <w:t>is</w:t>
            </w:r>
            <w:r w:rsidR="00B23290">
              <w:t>:</w:t>
            </w:r>
          </w:p>
          <w:p w14:paraId="1F9021F2" w14:textId="77777777" w:rsidR="00B23290" w:rsidRDefault="00AC760B" w:rsidP="00B23290">
            <w:pPr>
              <w:pStyle w:val="79CNormal"/>
              <w:numPr>
                <w:ilvl w:val="0"/>
                <w:numId w:val="17"/>
              </w:numPr>
              <w:jc w:val="both"/>
              <w:cnfStyle w:val="000000000000" w:firstRow="0" w:lastRow="0" w:firstColumn="0" w:lastColumn="0" w:oddVBand="0" w:evenVBand="0" w:oddHBand="0" w:evenHBand="0" w:firstRowFirstColumn="0" w:firstRowLastColumn="0" w:lastRowFirstColumn="0" w:lastRowLastColumn="0"/>
            </w:pPr>
            <w:r w:rsidRPr="00B23290">
              <w:rPr>
                <w:i/>
                <w:iCs/>
              </w:rPr>
              <w:t>to ensure active uses are provided at the street level to encourage the presence and movement of people</w:t>
            </w:r>
            <w:r w:rsidRPr="009B2211">
              <w:t>.</w:t>
            </w:r>
          </w:p>
          <w:p w14:paraId="44E98B58" w14:textId="5AEF3B77" w:rsidR="00CA4A4E" w:rsidRPr="009B2211" w:rsidRDefault="00B23290" w:rsidP="00554DE2">
            <w:pPr>
              <w:pStyle w:val="79CNormal"/>
              <w:jc w:val="both"/>
              <w:cnfStyle w:val="000000000000" w:firstRow="0" w:lastRow="0" w:firstColumn="0" w:lastColumn="0" w:oddVBand="0" w:evenVBand="0" w:oddHBand="0" w:evenHBand="0" w:firstRowFirstColumn="0" w:firstRowLastColumn="0" w:lastRowFirstColumn="0" w:lastRowLastColumn="0"/>
            </w:pPr>
            <w:r>
              <w:t xml:space="preserve">The proposal is not considered to have any </w:t>
            </w:r>
            <w:r w:rsidRPr="00363AEB">
              <w:t>consequential adverse impacts</w:t>
            </w:r>
            <w:r w:rsidR="00F67495">
              <w:t xml:space="preserve"> on this objective and t</w:t>
            </w:r>
            <w:r>
              <w:t>he design is considered to respond to the unique site constraints and integrate with the public square, lane and car parking areas.</w:t>
            </w:r>
          </w:p>
          <w:p w14:paraId="266B5584" w14:textId="11AEF27C" w:rsidR="00AC760B" w:rsidRPr="009B2211" w:rsidRDefault="00AC760B" w:rsidP="00554DE2">
            <w:pPr>
              <w:pStyle w:val="79CNormal"/>
              <w:jc w:val="both"/>
              <w:cnfStyle w:val="000000000000" w:firstRow="0" w:lastRow="0" w:firstColumn="0" w:lastColumn="0" w:oddVBand="0" w:evenVBand="0" w:oddHBand="0" w:evenHBand="0" w:firstRowFirstColumn="0" w:firstRowLastColumn="0" w:lastRowFirstColumn="0" w:lastRowLastColumn="0"/>
            </w:pPr>
            <w:r w:rsidRPr="009B2211">
              <w:t xml:space="preserve">The development provides </w:t>
            </w:r>
            <w:r w:rsidR="00926099" w:rsidRPr="009B2211">
              <w:t>an active use at street level</w:t>
            </w:r>
            <w:r w:rsidR="00F67495">
              <w:t xml:space="preserve"> and the </w:t>
            </w:r>
            <w:r w:rsidR="00926099" w:rsidRPr="009B2211">
              <w:t>G</w:t>
            </w:r>
            <w:r w:rsidRPr="009B2211">
              <w:t xml:space="preserve">lazing </w:t>
            </w:r>
            <w:r w:rsidR="003E31F0" w:rsidRPr="009B2211">
              <w:t xml:space="preserve">to each frontage to facilitate passive surveillance of the public domain and a aesthetically pleasing façade. </w:t>
            </w:r>
          </w:p>
          <w:p w14:paraId="55467D4C" w14:textId="38ACC5E6" w:rsidR="000A66B8" w:rsidRPr="009B2211" w:rsidRDefault="00926099" w:rsidP="00554DE2">
            <w:pPr>
              <w:pStyle w:val="79CNormal"/>
              <w:jc w:val="both"/>
              <w:cnfStyle w:val="000000000000" w:firstRow="0" w:lastRow="0" w:firstColumn="0" w:lastColumn="0" w:oddVBand="0" w:evenVBand="0" w:oddHBand="0" w:evenHBand="0" w:firstRowFirstColumn="0" w:firstRowLastColumn="0" w:lastRowFirstColumn="0" w:lastRowLastColumn="0"/>
            </w:pPr>
            <w:r w:rsidRPr="009B2211">
              <w:t xml:space="preserve">The </w:t>
            </w:r>
            <w:r w:rsidR="00564ECE" w:rsidRPr="009B2211">
              <w:t xml:space="preserve">use itself will generate significant movement of people to and around the site. </w:t>
            </w:r>
          </w:p>
          <w:p w14:paraId="4341F464" w14:textId="77777777" w:rsidR="009B2211" w:rsidRPr="009B2211" w:rsidRDefault="009B2211" w:rsidP="00554DE2">
            <w:pPr>
              <w:pStyle w:val="79CNormal"/>
              <w:jc w:val="both"/>
              <w:cnfStyle w:val="000000000000" w:firstRow="0" w:lastRow="0" w:firstColumn="0" w:lastColumn="0" w:oddVBand="0" w:evenVBand="0" w:oddHBand="0" w:evenHBand="0" w:firstRowFirstColumn="0" w:firstRowLastColumn="0" w:lastRowFirstColumn="0" w:lastRowLastColumn="0"/>
            </w:pPr>
            <w:r w:rsidRPr="009B2211">
              <w:t xml:space="preserve">The objectives of the zone are as follows: </w:t>
            </w:r>
          </w:p>
          <w:p w14:paraId="3DB0E89B" w14:textId="51FB443E" w:rsidR="0035470F" w:rsidRPr="0035470F" w:rsidRDefault="0035470F" w:rsidP="00B23290">
            <w:pPr>
              <w:pStyle w:val="79CNormal"/>
              <w:numPr>
                <w:ilvl w:val="0"/>
                <w:numId w:val="17"/>
              </w:numPr>
              <w:jc w:val="both"/>
              <w:cnfStyle w:val="000000000000" w:firstRow="0" w:lastRow="0" w:firstColumn="0" w:lastColumn="0" w:oddVBand="0" w:evenVBand="0" w:oddHBand="0" w:evenHBand="0" w:firstRowFirstColumn="0" w:firstRowLastColumn="0" w:lastRowFirstColumn="0" w:lastRowLastColumn="0"/>
              <w:rPr>
                <w:i/>
                <w:iCs/>
              </w:rPr>
            </w:pPr>
            <w:r w:rsidRPr="0035470F">
              <w:rPr>
                <w:i/>
                <w:iCs/>
              </w:rPr>
              <w:t>To provide a wide range of retail, business, office, entertainment, community and other suitable land uses that serve the needs of the local and wider community.</w:t>
            </w:r>
          </w:p>
          <w:p w14:paraId="46D84E83" w14:textId="586EB442" w:rsidR="0035470F" w:rsidRPr="0035470F" w:rsidRDefault="0035470F" w:rsidP="00B23290">
            <w:pPr>
              <w:pStyle w:val="79CNormal"/>
              <w:numPr>
                <w:ilvl w:val="0"/>
                <w:numId w:val="17"/>
              </w:numPr>
              <w:jc w:val="both"/>
              <w:cnfStyle w:val="000000000000" w:firstRow="0" w:lastRow="0" w:firstColumn="0" w:lastColumn="0" w:oddVBand="0" w:evenVBand="0" w:oddHBand="0" w:evenHBand="0" w:firstRowFirstColumn="0" w:firstRowLastColumn="0" w:lastRowFirstColumn="0" w:lastRowLastColumn="0"/>
              <w:rPr>
                <w:i/>
                <w:iCs/>
              </w:rPr>
            </w:pPr>
            <w:r w:rsidRPr="0035470F">
              <w:rPr>
                <w:i/>
                <w:iCs/>
              </w:rPr>
              <w:t>To encourage appropriate employment opportunities in accessible locations.</w:t>
            </w:r>
          </w:p>
          <w:p w14:paraId="7348C703" w14:textId="2A062557" w:rsidR="0035470F" w:rsidRPr="0035470F" w:rsidRDefault="0035470F" w:rsidP="00B23290">
            <w:pPr>
              <w:pStyle w:val="79CNormal"/>
              <w:numPr>
                <w:ilvl w:val="0"/>
                <w:numId w:val="17"/>
              </w:numPr>
              <w:jc w:val="both"/>
              <w:cnfStyle w:val="000000000000" w:firstRow="0" w:lastRow="0" w:firstColumn="0" w:lastColumn="0" w:oddVBand="0" w:evenVBand="0" w:oddHBand="0" w:evenHBand="0" w:firstRowFirstColumn="0" w:firstRowLastColumn="0" w:lastRowFirstColumn="0" w:lastRowLastColumn="0"/>
              <w:rPr>
                <w:i/>
                <w:iCs/>
              </w:rPr>
            </w:pPr>
            <w:r w:rsidRPr="0035470F">
              <w:rPr>
                <w:i/>
                <w:iCs/>
              </w:rPr>
              <w:t>To maximise public transport patronage and encourage walking and cycling.</w:t>
            </w:r>
          </w:p>
          <w:p w14:paraId="4A07AC9C" w14:textId="48D33A85" w:rsidR="0035470F" w:rsidRPr="0035470F" w:rsidRDefault="0035470F" w:rsidP="00B23290">
            <w:pPr>
              <w:pStyle w:val="79CNormal"/>
              <w:numPr>
                <w:ilvl w:val="0"/>
                <w:numId w:val="17"/>
              </w:numPr>
              <w:jc w:val="both"/>
              <w:cnfStyle w:val="000000000000" w:firstRow="0" w:lastRow="0" w:firstColumn="0" w:lastColumn="0" w:oddVBand="0" w:evenVBand="0" w:oddHBand="0" w:evenHBand="0" w:firstRowFirstColumn="0" w:firstRowLastColumn="0" w:lastRowFirstColumn="0" w:lastRowLastColumn="0"/>
              <w:rPr>
                <w:i/>
                <w:iCs/>
              </w:rPr>
            </w:pPr>
            <w:r w:rsidRPr="0035470F">
              <w:rPr>
                <w:i/>
                <w:iCs/>
              </w:rPr>
              <w:lastRenderedPageBreak/>
              <w:t>To strengthen the role of the Wollongong city centre as the regional business, retail and cultural centre of the Illawarra region.</w:t>
            </w:r>
          </w:p>
          <w:p w14:paraId="2375B384" w14:textId="6A78D7D5" w:rsidR="0035470F" w:rsidRPr="0035470F" w:rsidRDefault="0035470F" w:rsidP="00B23290">
            <w:pPr>
              <w:pStyle w:val="79CNormal"/>
              <w:numPr>
                <w:ilvl w:val="0"/>
                <w:numId w:val="17"/>
              </w:numPr>
              <w:jc w:val="both"/>
              <w:cnfStyle w:val="000000000000" w:firstRow="0" w:lastRow="0" w:firstColumn="0" w:lastColumn="0" w:oddVBand="0" w:evenVBand="0" w:oddHBand="0" w:evenHBand="0" w:firstRowFirstColumn="0" w:firstRowLastColumn="0" w:lastRowFirstColumn="0" w:lastRowLastColumn="0"/>
              <w:rPr>
                <w:i/>
                <w:iCs/>
              </w:rPr>
            </w:pPr>
            <w:r w:rsidRPr="0035470F">
              <w:rPr>
                <w:i/>
                <w:iCs/>
              </w:rPr>
              <w:t>To provide for high density residential development within a mixed use development if it—</w:t>
            </w:r>
          </w:p>
          <w:p w14:paraId="7574966F" w14:textId="5C257A36" w:rsidR="0035470F" w:rsidRPr="0035470F" w:rsidRDefault="0035470F" w:rsidP="00B23290">
            <w:pPr>
              <w:pStyle w:val="79CNormal"/>
              <w:ind w:left="720"/>
              <w:jc w:val="both"/>
              <w:cnfStyle w:val="000000000000" w:firstRow="0" w:lastRow="0" w:firstColumn="0" w:lastColumn="0" w:oddVBand="0" w:evenVBand="0" w:oddHBand="0" w:evenHBand="0" w:firstRowFirstColumn="0" w:firstRowLastColumn="0" w:lastRowFirstColumn="0" w:lastRowLastColumn="0"/>
              <w:rPr>
                <w:i/>
                <w:iCs/>
              </w:rPr>
            </w:pPr>
            <w:r w:rsidRPr="0035470F">
              <w:rPr>
                <w:i/>
                <w:iCs/>
              </w:rPr>
              <w:t>(a)</w:t>
            </w:r>
            <w:r w:rsidRPr="0035470F">
              <w:rPr>
                <w:i/>
                <w:iCs/>
              </w:rPr>
              <w:tab/>
              <w:t>is in a location that is accessible to public transport, employment, retail, commercial and service facilities, and</w:t>
            </w:r>
          </w:p>
          <w:p w14:paraId="69A0D9D2" w14:textId="77777777" w:rsidR="009B2211" w:rsidRPr="0035470F" w:rsidRDefault="0035470F" w:rsidP="00B23290">
            <w:pPr>
              <w:pStyle w:val="79CNormal"/>
              <w:ind w:left="720"/>
              <w:jc w:val="both"/>
              <w:cnfStyle w:val="000000000000" w:firstRow="0" w:lastRow="0" w:firstColumn="0" w:lastColumn="0" w:oddVBand="0" w:evenVBand="0" w:oddHBand="0" w:evenHBand="0" w:firstRowFirstColumn="0" w:firstRowLastColumn="0" w:lastRowFirstColumn="0" w:lastRowLastColumn="0"/>
              <w:rPr>
                <w:i/>
                <w:iCs/>
              </w:rPr>
            </w:pPr>
            <w:r w:rsidRPr="0035470F">
              <w:rPr>
                <w:i/>
                <w:iCs/>
              </w:rPr>
              <w:t>(b)</w:t>
            </w:r>
            <w:r w:rsidRPr="0035470F">
              <w:rPr>
                <w:i/>
                <w:iCs/>
              </w:rPr>
              <w:tab/>
              <w:t>contributes to the vitality of the Wollongong city centre.</w:t>
            </w:r>
          </w:p>
          <w:p w14:paraId="5E2606DB" w14:textId="6BB86757" w:rsidR="00B23290" w:rsidRDefault="00B23290" w:rsidP="00554DE2">
            <w:pPr>
              <w:pStyle w:val="79CNormal"/>
              <w:jc w:val="both"/>
              <w:cnfStyle w:val="000000000000" w:firstRow="0" w:lastRow="0" w:firstColumn="0" w:lastColumn="0" w:oddVBand="0" w:evenVBand="0" w:oddHBand="0" w:evenHBand="0" w:firstRowFirstColumn="0" w:firstRowLastColumn="0" w:lastRowFirstColumn="0" w:lastRowLastColumn="0"/>
            </w:pPr>
            <w:r>
              <w:t>The variation has regard to these objectives. The building complies with other development standards. The urban form is considered to exhibit design excellence.</w:t>
            </w:r>
          </w:p>
          <w:p w14:paraId="0DE9E89C" w14:textId="64B06EE8" w:rsidR="0035470F" w:rsidRDefault="00B23290" w:rsidP="00554DE2">
            <w:pPr>
              <w:pStyle w:val="79CNormal"/>
              <w:jc w:val="both"/>
              <w:cnfStyle w:val="000000000000" w:firstRow="0" w:lastRow="0" w:firstColumn="0" w:lastColumn="0" w:oddVBand="0" w:evenVBand="0" w:oddHBand="0" w:evenHBand="0" w:firstRowFirstColumn="0" w:firstRowLastColumn="0" w:lastRowFirstColumn="0" w:lastRowLastColumn="0"/>
            </w:pPr>
            <w:r>
              <w:t xml:space="preserve">It is considered </w:t>
            </w:r>
            <w:r w:rsidR="00F67495">
              <w:t xml:space="preserve">that </w:t>
            </w:r>
            <w:r>
              <w:t xml:space="preserve">there is no public benefit in requiring strict compliance with </w:t>
            </w:r>
            <w:r w:rsidR="00F67495">
              <w:t xml:space="preserve">the standard </w:t>
            </w:r>
            <w:r>
              <w:t>in this instance as entry from King Street is not ideal given the pedestrian environment on King Street. The main entry faces the public square providing an integrated space connecting visitors to the building. The end of the terrace area opens directly to the street and is a clearly visible access point into the building. The layout responds to the unique flooding constraints and necessary levels</w:t>
            </w:r>
            <w:r w:rsidR="006E1573">
              <w:t xml:space="preserve"> </w:t>
            </w:r>
            <w:r w:rsidR="00F67495">
              <w:t xml:space="preserve">and </w:t>
            </w:r>
            <w:r w:rsidR="006E1573">
              <w:t>achieve</w:t>
            </w:r>
            <w:r w:rsidR="00F67495">
              <w:t>s</w:t>
            </w:r>
            <w:r w:rsidR="006E1573">
              <w:t xml:space="preserve"> a</w:t>
            </w:r>
            <w:r>
              <w:t>ccessible travel</w:t>
            </w:r>
            <w:r w:rsidR="006E1573">
              <w:t>.</w:t>
            </w:r>
          </w:p>
          <w:p w14:paraId="5F9BAE0B" w14:textId="0F8F390C" w:rsidR="00F67495" w:rsidRDefault="00F67495" w:rsidP="00554DE2">
            <w:pPr>
              <w:pStyle w:val="79CNormal"/>
              <w:jc w:val="both"/>
              <w:cnfStyle w:val="000000000000" w:firstRow="0" w:lastRow="0" w:firstColumn="0" w:lastColumn="0" w:oddVBand="0" w:evenVBand="0" w:oddHBand="0" w:evenHBand="0" w:firstRowFirstColumn="0" w:firstRowLastColumn="0" w:lastRowFirstColumn="0" w:lastRowLastColumn="0"/>
            </w:pPr>
            <w:r>
              <w:t>Given the proposal is consistent with the zone objectives and the objectives of Clause 7.13 despite the development departure, the development is considered to be in the public interest in this instance. It is considered that the underlying objective of the standard and the zone are satisfied and that strict compliance with the standard is unreasonable and unnecessary in the unique circumstances of this case.</w:t>
            </w:r>
          </w:p>
          <w:p w14:paraId="6EB6E32B" w14:textId="3581F597" w:rsidR="00F67495" w:rsidRPr="009B2211" w:rsidRDefault="00F67495" w:rsidP="00554DE2">
            <w:pPr>
              <w:pStyle w:val="79CNormal"/>
              <w:jc w:val="both"/>
              <w:cnfStyle w:val="000000000000" w:firstRow="0" w:lastRow="0" w:firstColumn="0" w:lastColumn="0" w:oddVBand="0" w:evenVBand="0" w:oddHBand="0" w:evenHBand="0" w:firstRowFirstColumn="0" w:firstRowLastColumn="0" w:lastRowFirstColumn="0" w:lastRowLastColumn="0"/>
            </w:pPr>
            <w:r>
              <w:t>The proposal will not hinder the attainment of the objectives specified in section 5(a)(</w:t>
            </w:r>
            <w:proofErr w:type="spellStart"/>
            <w:r>
              <w:t>i</w:t>
            </w:r>
            <w:proofErr w:type="spellEnd"/>
            <w:r>
              <w:t>) and (ii) of the EP&amp;A Act.</w:t>
            </w:r>
          </w:p>
        </w:tc>
      </w:tr>
      <w:tr w:rsidR="00CA4A4E" w14:paraId="03E481BF" w14:textId="77777777" w:rsidTr="00CE42E7">
        <w:tc>
          <w:tcPr>
            <w:cnfStyle w:val="001000000000" w:firstRow="0" w:lastRow="0" w:firstColumn="1" w:lastColumn="0" w:oddVBand="0" w:evenVBand="0" w:oddHBand="0" w:evenHBand="0" w:firstRowFirstColumn="0" w:firstRowLastColumn="0" w:lastRowFirstColumn="0" w:lastRowLastColumn="0"/>
            <w:tcW w:w="3085" w:type="dxa"/>
          </w:tcPr>
          <w:p w14:paraId="21FE51C0" w14:textId="77777777" w:rsidR="00CA4A4E" w:rsidRDefault="00CA4A4E" w:rsidP="00554DE2">
            <w:pPr>
              <w:pStyle w:val="79CNormal"/>
              <w:jc w:val="both"/>
            </w:pPr>
            <w:r w:rsidRPr="00BE0E83">
              <w:lastRenderedPageBreak/>
              <w:t>the concurrence of the Secretary has been obtained</w:t>
            </w:r>
            <w:r w:rsidRPr="005B50FD">
              <w:rPr>
                <w:color w:val="000000"/>
                <w:shd w:val="clear" w:color="auto" w:fill="FFFFFF"/>
              </w:rPr>
              <w:t>.</w:t>
            </w:r>
          </w:p>
        </w:tc>
        <w:tc>
          <w:tcPr>
            <w:tcW w:w="6157" w:type="dxa"/>
          </w:tcPr>
          <w:p w14:paraId="3492EEEB" w14:textId="58C1CF0B" w:rsidR="00CA4A4E" w:rsidRPr="009B2211" w:rsidRDefault="00B23290" w:rsidP="00554DE2">
            <w:pPr>
              <w:pStyle w:val="79CNormal"/>
              <w:jc w:val="both"/>
              <w:cnfStyle w:val="000000000000" w:firstRow="0" w:lastRow="0" w:firstColumn="0" w:lastColumn="0" w:oddVBand="0" w:evenVBand="0" w:oddHBand="0" w:evenHBand="0" w:firstRowFirstColumn="0" w:firstRowLastColumn="0" w:lastRowFirstColumn="0" w:lastRowLastColumn="0"/>
            </w:pPr>
            <w:r>
              <w:t>The SRPP can exercise assumed concurrence in this instance as the consent authority.</w:t>
            </w:r>
          </w:p>
        </w:tc>
      </w:tr>
    </w:tbl>
    <w:p w14:paraId="70521DBA" w14:textId="77777777" w:rsidR="00CA4A4E" w:rsidRDefault="00CA4A4E" w:rsidP="00554DE2">
      <w:pPr>
        <w:pStyle w:val="79CNormal"/>
        <w:jc w:val="both"/>
      </w:pPr>
    </w:p>
    <w:p w14:paraId="06F0B3F4" w14:textId="19D7BD4D" w:rsidR="00F414BF" w:rsidRPr="001B24F4" w:rsidRDefault="00E30010" w:rsidP="00554DE2">
      <w:pPr>
        <w:keepNext/>
        <w:jc w:val="both"/>
        <w:rPr>
          <w:u w:val="single"/>
        </w:rPr>
      </w:pPr>
      <w:r w:rsidRPr="001B24F4">
        <w:rPr>
          <w:u w:val="single"/>
        </w:rPr>
        <w:t xml:space="preserve">Review </w:t>
      </w:r>
      <w:r w:rsidR="00F414BF" w:rsidRPr="001B24F4">
        <w:rPr>
          <w:u w:val="single"/>
        </w:rPr>
        <w:t>of condition 8 to provide greater clarity</w:t>
      </w:r>
    </w:p>
    <w:p w14:paraId="3407C530" w14:textId="123C3A99" w:rsidR="001B24F4" w:rsidRPr="00775CBC" w:rsidRDefault="00E30010" w:rsidP="00554DE2">
      <w:pPr>
        <w:jc w:val="both"/>
      </w:pPr>
      <w:r w:rsidRPr="00775CBC">
        <w:t xml:space="preserve">Draft condition 8 </w:t>
      </w:r>
      <w:r w:rsidR="00775CBC">
        <w:t xml:space="preserve">previously </w:t>
      </w:r>
      <w:r w:rsidRPr="00775CBC">
        <w:t xml:space="preserve">stated the following: </w:t>
      </w:r>
    </w:p>
    <w:p w14:paraId="55D03CA3" w14:textId="77777777" w:rsidR="001B6A35" w:rsidRPr="00596A64" w:rsidRDefault="001B6A35" w:rsidP="00554DE2">
      <w:pPr>
        <w:pStyle w:val="NormalWeb"/>
        <w:keepNext/>
        <w:numPr>
          <w:ilvl w:val="0"/>
          <w:numId w:val="14"/>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Number of Persons Accomodated</w:t>
      </w:r>
      <w:r w:rsidRPr="00596A64">
        <w:rPr>
          <w:rFonts w:ascii="Arial" w:hAnsi="Arial" w:cs="Arial"/>
          <w:b/>
          <w:bCs/>
          <w:sz w:val="20"/>
          <w:szCs w:val="20"/>
        </w:rPr>
        <w:t>  </w:t>
      </w:r>
    </w:p>
    <w:p w14:paraId="30B315E7" w14:textId="77777777" w:rsidR="001B6A35" w:rsidRPr="00D60899" w:rsidRDefault="001B6A35" w:rsidP="00554DE2">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number of persons accommodated during the use of the premises shall be limited to the following:</w:t>
      </w:r>
    </w:p>
    <w:tbl>
      <w:tblPr>
        <w:tblW w:w="7485" w:type="dxa"/>
        <w:jc w:val="center"/>
        <w:tblCellSpacing w:w="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823"/>
        <w:gridCol w:w="2662"/>
      </w:tblGrid>
      <w:tr w:rsidR="001B6A35" w14:paraId="0A6D7295" w14:textId="77777777" w:rsidTr="00C400AE">
        <w:trPr>
          <w:tblCellSpacing w:w="8" w:type="dxa"/>
          <w:jc w:val="center"/>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5C0CD7" w14:textId="77777777" w:rsidR="001B6A35" w:rsidRPr="00D60899" w:rsidRDefault="001B6A35" w:rsidP="00554DE2">
            <w:pPr>
              <w:pStyle w:val="NormalWeb"/>
              <w:spacing w:before="0" w:beforeAutospacing="0" w:after="120" w:afterAutospacing="0"/>
              <w:ind w:left="454"/>
              <w:jc w:val="both"/>
              <w:rPr>
                <w:rFonts w:ascii="Arial" w:hAnsi="Arial" w:cs="Arial"/>
                <w:sz w:val="20"/>
                <w:szCs w:val="20"/>
              </w:rPr>
            </w:pPr>
            <w:r w:rsidRPr="00D60899">
              <w:rPr>
                <w:rFonts w:ascii="Arial" w:hAnsi="Arial" w:cs="Arial"/>
                <w:b/>
                <w:bCs/>
                <w:sz w:val="20"/>
                <w:szCs w:val="20"/>
              </w:rPr>
              <w:t>Room/Area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6590B7" w14:textId="77777777" w:rsidR="001B6A35" w:rsidRPr="00D60899" w:rsidRDefault="001B6A35" w:rsidP="00554DE2">
            <w:pPr>
              <w:pStyle w:val="NormalWeb"/>
              <w:spacing w:before="0" w:beforeAutospacing="0" w:after="120" w:afterAutospacing="0"/>
              <w:ind w:left="454"/>
              <w:jc w:val="both"/>
              <w:rPr>
                <w:rFonts w:ascii="Arial" w:hAnsi="Arial" w:cs="Arial"/>
                <w:sz w:val="20"/>
                <w:szCs w:val="20"/>
              </w:rPr>
            </w:pPr>
            <w:r w:rsidRPr="00D60899">
              <w:rPr>
                <w:rFonts w:ascii="Arial" w:hAnsi="Arial" w:cs="Arial"/>
                <w:b/>
                <w:bCs/>
                <w:sz w:val="20"/>
                <w:szCs w:val="20"/>
              </w:rPr>
              <w:t>Number of People</w:t>
            </w:r>
          </w:p>
        </w:tc>
      </w:tr>
      <w:tr w:rsidR="001B6A35" w14:paraId="4025CA7C" w14:textId="77777777" w:rsidTr="00C400AE">
        <w:trPr>
          <w:tblCellSpacing w:w="8" w:type="dxa"/>
          <w:jc w:val="center"/>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D17727" w14:textId="77777777" w:rsidR="001B6A35" w:rsidRPr="00D60899" w:rsidRDefault="001B6A35" w:rsidP="00554DE2">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Level 2 (assembly)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5D4CF69" w14:textId="77777777" w:rsidR="001B6A35" w:rsidRPr="00D60899" w:rsidRDefault="001B6A35" w:rsidP="00554DE2">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320</w:t>
            </w:r>
          </w:p>
        </w:tc>
      </w:tr>
      <w:tr w:rsidR="001B6A35" w14:paraId="55994C94" w14:textId="77777777" w:rsidTr="00C400AE">
        <w:trPr>
          <w:tblCellSpacing w:w="8" w:type="dxa"/>
          <w:jc w:val="center"/>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D5BAA3" w14:textId="77777777" w:rsidR="001B6A35" w:rsidRPr="00D60899" w:rsidRDefault="001B6A35" w:rsidP="00554DE2">
            <w:pPr>
              <w:pStyle w:val="NormalWeb"/>
              <w:spacing w:before="0" w:beforeAutospacing="0" w:after="120" w:afterAutospacing="0"/>
              <w:ind w:left="454"/>
              <w:jc w:val="both"/>
              <w:rPr>
                <w:rFonts w:ascii="Arial" w:hAnsi="Arial" w:cs="Arial"/>
                <w:sz w:val="20"/>
                <w:szCs w:val="20"/>
              </w:rPr>
            </w:pPr>
            <w:r w:rsidRPr="00D60899">
              <w:rPr>
                <w:rFonts w:ascii="Arial" w:hAnsi="Arial" w:cs="Arial"/>
                <w:b/>
                <w:bCs/>
                <w:sz w:val="20"/>
                <w:szCs w:val="20"/>
              </w:rPr>
              <w:t>TOTAL CAPACITY (level 2 Assembly)</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665AC8D" w14:textId="77777777" w:rsidR="001B6A35" w:rsidRPr="00D60899" w:rsidRDefault="001B6A35" w:rsidP="00554DE2">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320</w:t>
            </w:r>
          </w:p>
        </w:tc>
      </w:tr>
    </w:tbl>
    <w:p w14:paraId="751B9BCF" w14:textId="77777777" w:rsidR="001B6A35" w:rsidRPr="00D60899" w:rsidRDefault="001B6A35" w:rsidP="00554DE2">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br/>
        <w:t>Install a sign displayed in a prominent position in the building stating the maximum number of persons, as specified above, that are permitted in the building.</w:t>
      </w:r>
    </w:p>
    <w:p w14:paraId="56AD0CA1" w14:textId="2FD24C3B" w:rsidR="00E30010" w:rsidRPr="009E6339" w:rsidRDefault="00F551FE" w:rsidP="00554DE2">
      <w:pPr>
        <w:jc w:val="both"/>
      </w:pPr>
      <w:r w:rsidRPr="009E6339">
        <w:t xml:space="preserve">This condition relates to the </w:t>
      </w:r>
      <w:r w:rsidR="00B63232" w:rsidRPr="009E6339">
        <w:t>community hall on level 2</w:t>
      </w:r>
      <w:r w:rsidR="00912EF5" w:rsidRPr="009E6339">
        <w:t xml:space="preserve"> as detailed in the </w:t>
      </w:r>
      <w:r w:rsidR="00636B6E" w:rsidRPr="009E6339">
        <w:t>BCA Statement prepared by Group DLA accompanying the DA</w:t>
      </w:r>
      <w:r w:rsidRPr="009E6339">
        <w:t xml:space="preserve">. </w:t>
      </w:r>
      <w:r w:rsidR="009E6339">
        <w:t>For greater clarity, the</w:t>
      </w:r>
      <w:r w:rsidR="002A6834" w:rsidRPr="009E6339">
        <w:t xml:space="preserve"> </w:t>
      </w:r>
      <w:r w:rsidRPr="009E6339">
        <w:t xml:space="preserve">condition has been amended </w:t>
      </w:r>
      <w:r w:rsidR="00533014" w:rsidRPr="009E6339">
        <w:t xml:space="preserve">to the following: </w:t>
      </w:r>
    </w:p>
    <w:p w14:paraId="7F24D0FE" w14:textId="6269F31E" w:rsidR="008A5299" w:rsidRPr="00596A64" w:rsidRDefault="00D45459" w:rsidP="00554DE2">
      <w:pPr>
        <w:pStyle w:val="NormalWeb"/>
        <w:keepNext/>
        <w:numPr>
          <w:ilvl w:val="0"/>
          <w:numId w:val="14"/>
        </w:numPr>
        <w:spacing w:before="0" w:beforeAutospacing="0" w:after="0" w:afterAutospacing="0"/>
        <w:ind w:left="454" w:hanging="454"/>
        <w:jc w:val="both"/>
        <w:rPr>
          <w:rFonts w:ascii="Arial" w:hAnsi="Arial" w:cs="Arial"/>
          <w:b/>
          <w:bCs/>
          <w:sz w:val="20"/>
          <w:szCs w:val="20"/>
        </w:rPr>
      </w:pPr>
      <w:r>
        <w:rPr>
          <w:rFonts w:ascii="Arial" w:hAnsi="Arial" w:cs="Arial"/>
          <w:b/>
          <w:bCs/>
          <w:noProof/>
          <w:sz w:val="20"/>
          <w:szCs w:val="20"/>
        </w:rPr>
        <w:lastRenderedPageBreak/>
        <w:t xml:space="preserve">Level 2 </w:t>
      </w:r>
      <w:r w:rsidR="008A5299">
        <w:rPr>
          <w:rFonts w:ascii="Arial" w:hAnsi="Arial" w:cs="Arial"/>
          <w:b/>
          <w:bCs/>
          <w:noProof/>
          <w:sz w:val="20"/>
          <w:szCs w:val="20"/>
        </w:rPr>
        <w:t xml:space="preserve">maximum capacity </w:t>
      </w:r>
    </w:p>
    <w:p w14:paraId="4272A5A5" w14:textId="28B2A434" w:rsidR="008A5299" w:rsidRPr="00D60899" w:rsidRDefault="008A5299" w:rsidP="00554DE2">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number of persons accommodated </w:t>
      </w:r>
      <w:r w:rsidR="00B63232">
        <w:rPr>
          <w:rFonts w:ascii="Arial" w:hAnsi="Arial" w:cs="Arial"/>
          <w:sz w:val="20"/>
          <w:szCs w:val="20"/>
        </w:rPr>
        <w:t>on level 2</w:t>
      </w:r>
      <w:r w:rsidRPr="00D60899">
        <w:rPr>
          <w:rFonts w:ascii="Arial" w:hAnsi="Arial" w:cs="Arial"/>
          <w:sz w:val="20"/>
          <w:szCs w:val="20"/>
        </w:rPr>
        <w:t xml:space="preserve"> </w:t>
      </w:r>
      <w:r w:rsidR="00D45459">
        <w:rPr>
          <w:rFonts w:ascii="Arial" w:hAnsi="Arial" w:cs="Arial"/>
          <w:sz w:val="20"/>
          <w:szCs w:val="20"/>
        </w:rPr>
        <w:t xml:space="preserve">of the building </w:t>
      </w:r>
      <w:r w:rsidRPr="00D60899">
        <w:rPr>
          <w:rFonts w:ascii="Arial" w:hAnsi="Arial" w:cs="Arial"/>
          <w:sz w:val="20"/>
          <w:szCs w:val="20"/>
        </w:rPr>
        <w:t>shall be limited to the following:</w:t>
      </w:r>
    </w:p>
    <w:tbl>
      <w:tblPr>
        <w:tblW w:w="7485" w:type="dxa"/>
        <w:jc w:val="center"/>
        <w:tblCellSpacing w:w="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326"/>
        <w:gridCol w:w="3159"/>
      </w:tblGrid>
      <w:tr w:rsidR="008A5299" w14:paraId="0FE94BFA" w14:textId="77777777" w:rsidTr="001E2063">
        <w:trPr>
          <w:tblCellSpacing w:w="8" w:type="dxa"/>
          <w:jc w:val="center"/>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499112" w14:textId="1F037EBD" w:rsidR="008A5299" w:rsidRPr="00D60899" w:rsidRDefault="008A5299" w:rsidP="00554DE2">
            <w:pPr>
              <w:pStyle w:val="NormalWeb"/>
              <w:spacing w:before="0" w:beforeAutospacing="0" w:after="120" w:afterAutospacing="0"/>
              <w:ind w:left="454"/>
              <w:jc w:val="both"/>
              <w:rPr>
                <w:rFonts w:ascii="Arial" w:hAnsi="Arial" w:cs="Arial"/>
                <w:sz w:val="20"/>
                <w:szCs w:val="20"/>
              </w:rPr>
            </w:pPr>
            <w:r w:rsidRPr="00D60899">
              <w:rPr>
                <w:rFonts w:ascii="Arial" w:hAnsi="Arial" w:cs="Arial"/>
                <w:b/>
                <w:bCs/>
                <w:sz w:val="20"/>
                <w:szCs w:val="20"/>
              </w:rPr>
              <w:t>Area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84F291E" w14:textId="77777777" w:rsidR="008A5299" w:rsidRPr="00D60899" w:rsidRDefault="008A5299" w:rsidP="00554DE2">
            <w:pPr>
              <w:pStyle w:val="NormalWeb"/>
              <w:spacing w:before="0" w:beforeAutospacing="0" w:after="120" w:afterAutospacing="0"/>
              <w:ind w:left="454"/>
              <w:jc w:val="both"/>
              <w:rPr>
                <w:rFonts w:ascii="Arial" w:hAnsi="Arial" w:cs="Arial"/>
                <w:sz w:val="20"/>
                <w:szCs w:val="20"/>
              </w:rPr>
            </w:pPr>
            <w:r w:rsidRPr="00D60899">
              <w:rPr>
                <w:rFonts w:ascii="Arial" w:hAnsi="Arial" w:cs="Arial"/>
                <w:b/>
                <w:bCs/>
                <w:sz w:val="20"/>
                <w:szCs w:val="20"/>
              </w:rPr>
              <w:t>Number of People</w:t>
            </w:r>
          </w:p>
        </w:tc>
      </w:tr>
      <w:tr w:rsidR="008A5299" w14:paraId="7DA808B4" w14:textId="77777777" w:rsidTr="001E2063">
        <w:trPr>
          <w:tblCellSpacing w:w="8" w:type="dxa"/>
          <w:jc w:val="center"/>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1474D7" w14:textId="77777777" w:rsidR="008A5299" w:rsidRPr="00D60899" w:rsidRDefault="008A5299" w:rsidP="00554DE2">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Level 2 (assembly)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FD3065E" w14:textId="77777777" w:rsidR="008A5299" w:rsidRPr="00D60899" w:rsidRDefault="008A5299" w:rsidP="00554DE2">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320</w:t>
            </w:r>
          </w:p>
        </w:tc>
      </w:tr>
      <w:tr w:rsidR="008A5299" w14:paraId="0CC73FB3" w14:textId="77777777" w:rsidTr="001E2063">
        <w:trPr>
          <w:tblCellSpacing w:w="8" w:type="dxa"/>
          <w:jc w:val="center"/>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62E950" w14:textId="6421C9F6" w:rsidR="008A5299" w:rsidRPr="00D60899" w:rsidRDefault="008A5299" w:rsidP="00554DE2">
            <w:pPr>
              <w:pStyle w:val="NormalWeb"/>
              <w:spacing w:before="0" w:beforeAutospacing="0" w:after="120" w:afterAutospacing="0"/>
              <w:ind w:left="454"/>
              <w:jc w:val="both"/>
              <w:rPr>
                <w:rFonts w:ascii="Arial" w:hAnsi="Arial" w:cs="Arial"/>
                <w:sz w:val="20"/>
                <w:szCs w:val="20"/>
              </w:rPr>
            </w:pPr>
            <w:r w:rsidRPr="00D60899">
              <w:rPr>
                <w:rFonts w:ascii="Arial" w:hAnsi="Arial" w:cs="Arial"/>
                <w:b/>
                <w:bCs/>
                <w:sz w:val="20"/>
                <w:szCs w:val="20"/>
              </w:rPr>
              <w:t>TOTAL CAPACITY (level 2)</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79D68B9" w14:textId="77777777" w:rsidR="008A5299" w:rsidRPr="00D60899" w:rsidRDefault="008A5299" w:rsidP="00554DE2">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320</w:t>
            </w:r>
          </w:p>
        </w:tc>
      </w:tr>
    </w:tbl>
    <w:p w14:paraId="3FF33037" w14:textId="77777777" w:rsidR="00533014" w:rsidRPr="00E30010" w:rsidRDefault="00533014" w:rsidP="00554DE2">
      <w:pPr>
        <w:jc w:val="both"/>
        <w:rPr>
          <w:highlight w:val="yellow"/>
        </w:rPr>
      </w:pPr>
    </w:p>
    <w:p w14:paraId="5B344F63" w14:textId="39D17581" w:rsidR="00F414BF" w:rsidRPr="001B24F4" w:rsidRDefault="00E30010" w:rsidP="00554DE2">
      <w:pPr>
        <w:keepNext/>
        <w:jc w:val="both"/>
        <w:rPr>
          <w:u w:val="single"/>
        </w:rPr>
      </w:pPr>
      <w:r w:rsidRPr="001B24F4">
        <w:rPr>
          <w:u w:val="single"/>
        </w:rPr>
        <w:t xml:space="preserve">Review </w:t>
      </w:r>
      <w:r w:rsidR="00F414BF" w:rsidRPr="001B24F4">
        <w:rPr>
          <w:u w:val="single"/>
        </w:rPr>
        <w:t>of conditions 16 and 20 to remove any duplication</w:t>
      </w:r>
    </w:p>
    <w:p w14:paraId="78AC6E14" w14:textId="3EFC017B" w:rsidR="001B24F4" w:rsidRPr="00CD09B2" w:rsidRDefault="00E30010" w:rsidP="00554DE2">
      <w:pPr>
        <w:jc w:val="both"/>
      </w:pPr>
      <w:r>
        <w:t xml:space="preserve">This has been resolved </w:t>
      </w:r>
      <w:r w:rsidR="00FD0B4B">
        <w:t xml:space="preserve">in the draft conditions at </w:t>
      </w:r>
      <w:r w:rsidR="00FD0B4B" w:rsidRPr="001A7E59">
        <w:rPr>
          <w:b/>
          <w:bCs/>
        </w:rPr>
        <w:t>Attachment 4</w:t>
      </w:r>
      <w:r w:rsidR="00FD0B4B">
        <w:t xml:space="preserve">. </w:t>
      </w:r>
    </w:p>
    <w:p w14:paraId="00D66834" w14:textId="582FA9B7" w:rsidR="00F414BF" w:rsidRPr="001B24F4" w:rsidRDefault="00FD0B4B" w:rsidP="00554DE2">
      <w:pPr>
        <w:keepNext/>
        <w:jc w:val="both"/>
        <w:rPr>
          <w:u w:val="single"/>
        </w:rPr>
      </w:pPr>
      <w:r w:rsidRPr="001B24F4">
        <w:rPr>
          <w:u w:val="single"/>
        </w:rPr>
        <w:t xml:space="preserve">Inclusion </w:t>
      </w:r>
      <w:r w:rsidR="00F414BF" w:rsidRPr="001B24F4">
        <w:rPr>
          <w:u w:val="single"/>
        </w:rPr>
        <w:t>of a draft condition requiring a hazardous materials survey prior to demolition</w:t>
      </w:r>
    </w:p>
    <w:p w14:paraId="1FAB990C" w14:textId="5571A0F3" w:rsidR="00FD0B4B" w:rsidRPr="00CD09B2" w:rsidRDefault="00FD0B4B" w:rsidP="00554DE2">
      <w:pPr>
        <w:jc w:val="both"/>
      </w:pPr>
      <w:r w:rsidRPr="00EA61F9">
        <w:t xml:space="preserve">This is now contained at condition </w:t>
      </w:r>
      <w:r w:rsidR="00EA61F9" w:rsidRPr="00EA61F9">
        <w:t>3</w:t>
      </w:r>
      <w:r w:rsidR="0037476E">
        <w:t>5</w:t>
      </w:r>
      <w:r w:rsidRPr="00EA61F9">
        <w:t xml:space="preserve"> of the draft conditions at </w:t>
      </w:r>
      <w:r w:rsidRPr="001A7E59">
        <w:rPr>
          <w:b/>
          <w:bCs/>
        </w:rPr>
        <w:t>Attachment 4</w:t>
      </w:r>
      <w:r w:rsidRPr="00EA61F9">
        <w:t>.</w:t>
      </w:r>
      <w:r>
        <w:t xml:space="preserve"> </w:t>
      </w:r>
    </w:p>
    <w:p w14:paraId="3C684132" w14:textId="78C8E467" w:rsidR="00F414BF" w:rsidRPr="001B24F4" w:rsidRDefault="002D597B" w:rsidP="00554DE2">
      <w:pPr>
        <w:keepNext/>
        <w:keepLines/>
        <w:jc w:val="both"/>
        <w:rPr>
          <w:u w:val="single"/>
        </w:rPr>
      </w:pPr>
      <w:r w:rsidRPr="001B24F4">
        <w:rPr>
          <w:u w:val="single"/>
        </w:rPr>
        <w:t xml:space="preserve">Revision </w:t>
      </w:r>
      <w:r w:rsidR="00F414BF" w:rsidRPr="001B24F4">
        <w:rPr>
          <w:u w:val="single"/>
        </w:rPr>
        <w:t>of Condition 1 to include a reference to the SEE and associated technical reports (or alternatively reference the SEE and technical reports explicitly in operational conditions). In particular, the recommendations of the Douglas Partners PSI, Fire Safety Schedule, and Acoustic Report are required to be referenced within the draft conditions of consent.</w:t>
      </w:r>
    </w:p>
    <w:p w14:paraId="02994A09" w14:textId="55FFD13B" w:rsidR="00751D99" w:rsidRPr="00277B6E" w:rsidRDefault="00751D99" w:rsidP="00554DE2">
      <w:pPr>
        <w:jc w:val="both"/>
      </w:pPr>
      <w:r w:rsidRPr="00277B6E">
        <w:t>It is not common practice for Council to include reference to supporting documents in condition 1. Rather</w:t>
      </w:r>
      <w:r w:rsidR="003737D7">
        <w:t xml:space="preserve">, separate conditions include reference to those documents </w:t>
      </w:r>
      <w:r w:rsidRPr="00277B6E">
        <w:t xml:space="preserve">where necessary. </w:t>
      </w:r>
    </w:p>
    <w:p w14:paraId="491D8FFB" w14:textId="1DA29E22" w:rsidR="006101B5" w:rsidRDefault="006101B5" w:rsidP="00554DE2">
      <w:pPr>
        <w:jc w:val="both"/>
      </w:pPr>
      <w:r w:rsidRPr="00277B6E">
        <w:t>The SEE does not contain detail that needs to be reflected in the conditions of consent.</w:t>
      </w:r>
      <w:r>
        <w:t xml:space="preserve"> </w:t>
      </w:r>
    </w:p>
    <w:p w14:paraId="7B95027D" w14:textId="77777777" w:rsidR="00F76203" w:rsidRDefault="00F76203" w:rsidP="00554DE2">
      <w:pPr>
        <w:jc w:val="both"/>
      </w:pPr>
      <w:r>
        <w:t xml:space="preserve">Condition 33 of the draft consent references recommendations contained in the PSI. </w:t>
      </w:r>
    </w:p>
    <w:p w14:paraId="713B35E6" w14:textId="36BC48DC" w:rsidR="002D597B" w:rsidRDefault="002D597B" w:rsidP="00554DE2">
      <w:pPr>
        <w:jc w:val="both"/>
      </w:pPr>
      <w:r>
        <w:t xml:space="preserve">Condition </w:t>
      </w:r>
      <w:r w:rsidR="00091598">
        <w:t>3</w:t>
      </w:r>
      <w:r w:rsidR="00F76203">
        <w:t>4</w:t>
      </w:r>
      <w:r>
        <w:t xml:space="preserve"> of the draft consent references </w:t>
      </w:r>
      <w:r w:rsidR="00033B77">
        <w:t xml:space="preserve">the recommendations contained in the </w:t>
      </w:r>
      <w:r w:rsidR="00033B77" w:rsidRPr="00033B77">
        <w:t>Acoustics Report</w:t>
      </w:r>
      <w:r w:rsidR="00033B77">
        <w:t>.</w:t>
      </w:r>
    </w:p>
    <w:p w14:paraId="61CA23BA" w14:textId="71CA2328" w:rsidR="002D597B" w:rsidRDefault="00F207A2" w:rsidP="00554DE2">
      <w:pPr>
        <w:jc w:val="both"/>
      </w:pPr>
      <w:r>
        <w:t xml:space="preserve">Council’s BCA Officer has advised that no specific condition is required in regard to a fire safety schedule. </w:t>
      </w:r>
    </w:p>
    <w:p w14:paraId="1F84C85A" w14:textId="77777777" w:rsidR="00D27116" w:rsidRPr="007A029D" w:rsidRDefault="0009470D" w:rsidP="00554DE2">
      <w:pPr>
        <w:pStyle w:val="ListParagraph"/>
        <w:numPr>
          <w:ilvl w:val="0"/>
          <w:numId w:val="6"/>
        </w:numPr>
        <w:pBdr>
          <w:bottom w:val="single" w:sz="12" w:space="1" w:color="auto"/>
        </w:pBdr>
        <w:spacing w:before="240"/>
        <w:ind w:left="357" w:hanging="357"/>
        <w:jc w:val="both"/>
        <w:rPr>
          <w:rStyle w:val="Emphasis"/>
          <w:rFonts w:ascii="Arial" w:hAnsi="Arial" w:cs="Arial"/>
          <w:i w:val="0"/>
          <w:iCs w:val="0"/>
          <w:szCs w:val="20"/>
          <w:lang w:val="en-US"/>
        </w:rPr>
      </w:pPr>
      <w:r w:rsidRPr="007A029D">
        <w:rPr>
          <w:rStyle w:val="Emphasis"/>
          <w:rFonts w:ascii="Arial" w:hAnsi="Arial" w:cs="Arial"/>
          <w:i w:val="0"/>
          <w:iCs w:val="0"/>
          <w:szCs w:val="20"/>
          <w:lang w:val="en-US"/>
        </w:rPr>
        <w:t>CONCLUSION:</w:t>
      </w:r>
    </w:p>
    <w:p w14:paraId="4406EB5A" w14:textId="2242BD0A" w:rsidR="00D27116" w:rsidRDefault="008E4EF0" w:rsidP="00554DE2">
      <w:pPr>
        <w:jc w:val="both"/>
        <w:rPr>
          <w:rStyle w:val="Emphasis"/>
          <w:rFonts w:ascii="Arial" w:hAnsi="Arial" w:cs="Arial"/>
          <w:b w:val="0"/>
          <w:bCs/>
          <w:i w:val="0"/>
          <w:iCs w:val="0"/>
          <w:szCs w:val="20"/>
          <w:lang w:val="en-US"/>
        </w:rPr>
      </w:pPr>
      <w:r>
        <w:rPr>
          <w:rStyle w:val="Emphasis"/>
          <w:rFonts w:ascii="Arial" w:hAnsi="Arial" w:cs="Arial"/>
          <w:b w:val="0"/>
          <w:bCs/>
          <w:i w:val="0"/>
          <w:iCs w:val="0"/>
          <w:szCs w:val="20"/>
          <w:lang w:val="en-US"/>
        </w:rPr>
        <w:t>Th</w:t>
      </w:r>
      <w:r w:rsidR="00483C67">
        <w:rPr>
          <w:rStyle w:val="Emphasis"/>
          <w:rFonts w:ascii="Arial" w:hAnsi="Arial" w:cs="Arial"/>
          <w:b w:val="0"/>
          <w:bCs/>
          <w:i w:val="0"/>
          <w:iCs w:val="0"/>
          <w:szCs w:val="20"/>
          <w:lang w:val="en-US"/>
        </w:rPr>
        <w:t xml:space="preserve">is </w:t>
      </w:r>
      <w:r w:rsidR="00790212" w:rsidRPr="00CB79E9">
        <w:rPr>
          <w:rStyle w:val="DummyText"/>
          <w:color w:val="000000" w:themeColor="text1"/>
        </w:rPr>
        <w:t xml:space="preserve">supplementary </w:t>
      </w:r>
      <w:r w:rsidR="00483C67">
        <w:rPr>
          <w:rStyle w:val="Emphasis"/>
          <w:rFonts w:ascii="Arial" w:hAnsi="Arial" w:cs="Arial"/>
          <w:b w:val="0"/>
          <w:bCs/>
          <w:i w:val="0"/>
          <w:iCs w:val="0"/>
          <w:szCs w:val="20"/>
          <w:lang w:val="en-US"/>
        </w:rPr>
        <w:t xml:space="preserve">report and the amendments to the plans </w:t>
      </w:r>
      <w:r w:rsidR="009E0B55">
        <w:rPr>
          <w:rStyle w:val="Emphasis"/>
          <w:rFonts w:ascii="Arial" w:hAnsi="Arial" w:cs="Arial"/>
          <w:b w:val="0"/>
          <w:bCs/>
          <w:i w:val="0"/>
          <w:iCs w:val="0"/>
          <w:szCs w:val="20"/>
          <w:lang w:val="en-US"/>
        </w:rPr>
        <w:t xml:space="preserve">are </w:t>
      </w:r>
      <w:r>
        <w:rPr>
          <w:rStyle w:val="Emphasis"/>
          <w:rFonts w:ascii="Arial" w:hAnsi="Arial" w:cs="Arial"/>
          <w:b w:val="0"/>
          <w:bCs/>
          <w:i w:val="0"/>
          <w:iCs w:val="0"/>
          <w:szCs w:val="20"/>
          <w:lang w:val="en-US"/>
        </w:rPr>
        <w:t xml:space="preserve">considered to </w:t>
      </w:r>
      <w:r w:rsidR="007C6E45">
        <w:rPr>
          <w:rStyle w:val="Emphasis"/>
          <w:rFonts w:ascii="Arial" w:hAnsi="Arial" w:cs="Arial"/>
          <w:b w:val="0"/>
          <w:bCs/>
          <w:i w:val="0"/>
          <w:iCs w:val="0"/>
          <w:szCs w:val="20"/>
          <w:lang w:val="en-US"/>
        </w:rPr>
        <w:t>satisfactorily</w:t>
      </w:r>
      <w:r>
        <w:rPr>
          <w:rStyle w:val="Emphasis"/>
          <w:rFonts w:ascii="Arial" w:hAnsi="Arial" w:cs="Arial"/>
          <w:b w:val="0"/>
          <w:bCs/>
          <w:i w:val="0"/>
          <w:iCs w:val="0"/>
          <w:szCs w:val="20"/>
          <w:lang w:val="en-US"/>
        </w:rPr>
        <w:t xml:space="preserve"> address the </w:t>
      </w:r>
      <w:r w:rsidR="002A1B65">
        <w:rPr>
          <w:rStyle w:val="Emphasis"/>
          <w:rFonts w:ascii="Arial" w:hAnsi="Arial" w:cs="Arial"/>
          <w:b w:val="0"/>
          <w:bCs/>
          <w:i w:val="0"/>
          <w:iCs w:val="0"/>
          <w:szCs w:val="20"/>
          <w:lang w:val="en-US"/>
        </w:rPr>
        <w:t>reasons for deferral</w:t>
      </w:r>
      <w:r>
        <w:rPr>
          <w:rStyle w:val="Emphasis"/>
          <w:rFonts w:ascii="Arial" w:hAnsi="Arial" w:cs="Arial"/>
          <w:b w:val="0"/>
          <w:bCs/>
          <w:i w:val="0"/>
          <w:iCs w:val="0"/>
          <w:szCs w:val="20"/>
          <w:lang w:val="en-US"/>
        </w:rPr>
        <w:t xml:space="preserve"> </w:t>
      </w:r>
      <w:r w:rsidR="00483C67">
        <w:rPr>
          <w:rStyle w:val="Emphasis"/>
          <w:rFonts w:ascii="Arial" w:hAnsi="Arial" w:cs="Arial"/>
          <w:b w:val="0"/>
          <w:bCs/>
          <w:i w:val="0"/>
          <w:iCs w:val="0"/>
          <w:szCs w:val="20"/>
          <w:lang w:val="en-US"/>
        </w:rPr>
        <w:t xml:space="preserve">by the Panel </w:t>
      </w:r>
      <w:r>
        <w:rPr>
          <w:rStyle w:val="Emphasis"/>
          <w:rFonts w:ascii="Arial" w:hAnsi="Arial" w:cs="Arial"/>
          <w:b w:val="0"/>
          <w:bCs/>
          <w:i w:val="0"/>
          <w:iCs w:val="0"/>
          <w:szCs w:val="20"/>
          <w:lang w:val="en-US"/>
        </w:rPr>
        <w:t xml:space="preserve">and the application is recommended for approval subject to the draft conditions at </w:t>
      </w:r>
      <w:r w:rsidRPr="000F7927">
        <w:rPr>
          <w:rStyle w:val="Emphasis"/>
          <w:rFonts w:ascii="Arial" w:hAnsi="Arial" w:cs="Arial"/>
          <w:i w:val="0"/>
          <w:iCs w:val="0"/>
          <w:szCs w:val="20"/>
          <w:lang w:val="en-US"/>
        </w:rPr>
        <w:t xml:space="preserve">Attachment </w:t>
      </w:r>
      <w:r w:rsidR="002A1B65">
        <w:rPr>
          <w:rStyle w:val="Emphasis"/>
          <w:rFonts w:ascii="Arial" w:hAnsi="Arial" w:cs="Arial"/>
          <w:i w:val="0"/>
          <w:iCs w:val="0"/>
          <w:szCs w:val="20"/>
          <w:lang w:val="en-US"/>
        </w:rPr>
        <w:t>4</w:t>
      </w:r>
      <w:r>
        <w:rPr>
          <w:rStyle w:val="Emphasis"/>
          <w:rFonts w:ascii="Arial" w:hAnsi="Arial" w:cs="Arial"/>
          <w:b w:val="0"/>
          <w:bCs/>
          <w:i w:val="0"/>
          <w:iCs w:val="0"/>
          <w:szCs w:val="20"/>
          <w:lang w:val="en-US"/>
        </w:rPr>
        <w:t xml:space="preserve">. </w:t>
      </w:r>
    </w:p>
    <w:p w14:paraId="48275628" w14:textId="282127C1" w:rsidR="0057227E" w:rsidRDefault="0057227E" w:rsidP="00554DE2">
      <w:pPr>
        <w:jc w:val="both"/>
        <w:rPr>
          <w:rStyle w:val="Emphasis"/>
          <w:rFonts w:ascii="Arial" w:hAnsi="Arial" w:cs="Arial"/>
          <w:b w:val="0"/>
          <w:bCs/>
          <w:i w:val="0"/>
          <w:iCs w:val="0"/>
          <w:szCs w:val="20"/>
          <w:lang w:val="en-US"/>
        </w:rPr>
      </w:pPr>
    </w:p>
    <w:p w14:paraId="1AFEEE2F" w14:textId="27CAB1F4" w:rsidR="0057227E" w:rsidRPr="0057227E" w:rsidRDefault="0057227E" w:rsidP="00554DE2">
      <w:pPr>
        <w:jc w:val="both"/>
        <w:rPr>
          <w:rStyle w:val="Emphasis"/>
          <w:rFonts w:ascii="Arial" w:hAnsi="Arial" w:cs="Arial"/>
          <w:i w:val="0"/>
          <w:iCs w:val="0"/>
          <w:szCs w:val="20"/>
          <w:lang w:val="en-US"/>
        </w:rPr>
      </w:pPr>
      <w:r w:rsidRPr="0057227E">
        <w:rPr>
          <w:rStyle w:val="Emphasis"/>
          <w:rFonts w:ascii="Arial" w:hAnsi="Arial" w:cs="Arial"/>
          <w:i w:val="0"/>
          <w:iCs w:val="0"/>
          <w:szCs w:val="20"/>
          <w:lang w:val="en-US"/>
        </w:rPr>
        <w:t xml:space="preserve">Attachments </w:t>
      </w:r>
    </w:p>
    <w:p w14:paraId="7E592872" w14:textId="3E11F237" w:rsidR="0057227E" w:rsidRDefault="0057227E" w:rsidP="00554DE2">
      <w:pPr>
        <w:jc w:val="both"/>
        <w:rPr>
          <w:rStyle w:val="Emphasis"/>
          <w:rFonts w:ascii="Arial" w:hAnsi="Arial" w:cs="Arial"/>
          <w:b w:val="0"/>
          <w:bCs/>
          <w:i w:val="0"/>
          <w:iCs w:val="0"/>
          <w:szCs w:val="20"/>
          <w:lang w:val="en-US"/>
        </w:rPr>
      </w:pPr>
      <w:r>
        <w:rPr>
          <w:rStyle w:val="Emphasis"/>
          <w:rFonts w:ascii="Arial" w:hAnsi="Arial" w:cs="Arial"/>
          <w:b w:val="0"/>
          <w:bCs/>
          <w:i w:val="0"/>
          <w:iCs w:val="0"/>
          <w:szCs w:val="20"/>
          <w:lang w:val="en-US"/>
        </w:rPr>
        <w:t xml:space="preserve">1 </w:t>
      </w:r>
      <w:r w:rsidR="009E670D">
        <w:rPr>
          <w:rStyle w:val="Emphasis"/>
          <w:rFonts w:ascii="Arial" w:hAnsi="Arial" w:cs="Arial"/>
          <w:b w:val="0"/>
          <w:bCs/>
          <w:i w:val="0"/>
          <w:iCs w:val="0"/>
          <w:szCs w:val="20"/>
          <w:lang w:val="en-US"/>
        </w:rPr>
        <w:t>SRPP Deferral letter</w:t>
      </w:r>
    </w:p>
    <w:p w14:paraId="13E239CD" w14:textId="1C097216" w:rsidR="0057227E" w:rsidRDefault="002C5466" w:rsidP="00554DE2">
      <w:pPr>
        <w:jc w:val="both"/>
        <w:rPr>
          <w:rStyle w:val="Emphasis"/>
          <w:rFonts w:ascii="Arial" w:hAnsi="Arial" w:cs="Arial"/>
          <w:b w:val="0"/>
          <w:bCs/>
          <w:i w:val="0"/>
          <w:iCs w:val="0"/>
          <w:szCs w:val="20"/>
          <w:lang w:val="en-US"/>
        </w:rPr>
      </w:pPr>
      <w:r>
        <w:rPr>
          <w:rStyle w:val="Emphasis"/>
          <w:rFonts w:ascii="Arial" w:hAnsi="Arial" w:cs="Arial"/>
          <w:b w:val="0"/>
          <w:bCs/>
          <w:i w:val="0"/>
          <w:iCs w:val="0"/>
          <w:szCs w:val="20"/>
          <w:lang w:val="en-US"/>
        </w:rPr>
        <w:t>2</w:t>
      </w:r>
      <w:r w:rsidR="0057227E">
        <w:rPr>
          <w:rStyle w:val="Emphasis"/>
          <w:rFonts w:ascii="Arial" w:hAnsi="Arial" w:cs="Arial"/>
          <w:b w:val="0"/>
          <w:bCs/>
          <w:i w:val="0"/>
          <w:iCs w:val="0"/>
          <w:szCs w:val="20"/>
          <w:lang w:val="en-US"/>
        </w:rPr>
        <w:t xml:space="preserve"> Plans </w:t>
      </w:r>
    </w:p>
    <w:p w14:paraId="27441400" w14:textId="5BAA6343" w:rsidR="003B36A7" w:rsidRDefault="002C5466" w:rsidP="00554DE2">
      <w:pPr>
        <w:jc w:val="both"/>
        <w:rPr>
          <w:rStyle w:val="Emphasis"/>
          <w:rFonts w:ascii="Arial" w:hAnsi="Arial" w:cs="Arial"/>
          <w:b w:val="0"/>
          <w:bCs/>
          <w:i w:val="0"/>
          <w:iCs w:val="0"/>
          <w:szCs w:val="20"/>
          <w:lang w:val="en-US"/>
        </w:rPr>
      </w:pPr>
      <w:r>
        <w:rPr>
          <w:rStyle w:val="Emphasis"/>
          <w:rFonts w:ascii="Arial" w:hAnsi="Arial" w:cs="Arial"/>
          <w:b w:val="0"/>
          <w:bCs/>
          <w:i w:val="0"/>
          <w:iCs w:val="0"/>
          <w:szCs w:val="20"/>
          <w:lang w:val="en-US"/>
        </w:rPr>
        <w:t>3</w:t>
      </w:r>
      <w:r w:rsidR="0057227E">
        <w:rPr>
          <w:rStyle w:val="Emphasis"/>
          <w:rFonts w:ascii="Arial" w:hAnsi="Arial" w:cs="Arial"/>
          <w:b w:val="0"/>
          <w:bCs/>
          <w:i w:val="0"/>
          <w:iCs w:val="0"/>
          <w:szCs w:val="20"/>
          <w:lang w:val="en-US"/>
        </w:rPr>
        <w:t xml:space="preserve"> </w:t>
      </w:r>
      <w:r w:rsidR="003B36A7">
        <w:rPr>
          <w:rStyle w:val="Emphasis"/>
          <w:rFonts w:ascii="Arial" w:hAnsi="Arial" w:cs="Arial"/>
          <w:b w:val="0"/>
          <w:bCs/>
          <w:i w:val="0"/>
          <w:iCs w:val="0"/>
          <w:szCs w:val="20"/>
          <w:lang w:val="en-US"/>
        </w:rPr>
        <w:t>Clause 4.6 variation (Clause 7.13 of WLEP 2009)</w:t>
      </w:r>
    </w:p>
    <w:p w14:paraId="11F8D72B" w14:textId="7C236276" w:rsidR="0057227E" w:rsidRPr="00AD4C50" w:rsidRDefault="002C5466" w:rsidP="00554DE2">
      <w:pPr>
        <w:jc w:val="both"/>
        <w:rPr>
          <w:rStyle w:val="Emphasis"/>
          <w:rFonts w:ascii="Arial" w:hAnsi="Arial" w:cs="Arial"/>
          <w:b w:val="0"/>
          <w:bCs/>
          <w:i w:val="0"/>
          <w:iCs w:val="0"/>
          <w:szCs w:val="20"/>
          <w:lang w:val="en-US"/>
        </w:rPr>
      </w:pPr>
      <w:r>
        <w:rPr>
          <w:rStyle w:val="Emphasis"/>
          <w:rFonts w:ascii="Arial" w:hAnsi="Arial" w:cs="Arial"/>
          <w:b w:val="0"/>
          <w:bCs/>
          <w:i w:val="0"/>
          <w:iCs w:val="0"/>
          <w:szCs w:val="20"/>
          <w:lang w:val="en-US"/>
        </w:rPr>
        <w:t>4</w:t>
      </w:r>
      <w:r w:rsidR="003B36A7">
        <w:rPr>
          <w:rStyle w:val="Emphasis"/>
          <w:rFonts w:ascii="Arial" w:hAnsi="Arial" w:cs="Arial"/>
          <w:b w:val="0"/>
          <w:bCs/>
          <w:i w:val="0"/>
          <w:iCs w:val="0"/>
          <w:szCs w:val="20"/>
          <w:lang w:val="en-US"/>
        </w:rPr>
        <w:t xml:space="preserve"> </w:t>
      </w:r>
      <w:r w:rsidR="0057227E">
        <w:rPr>
          <w:rStyle w:val="Emphasis"/>
          <w:rFonts w:ascii="Arial" w:hAnsi="Arial" w:cs="Arial"/>
          <w:b w:val="0"/>
          <w:bCs/>
          <w:i w:val="0"/>
          <w:iCs w:val="0"/>
          <w:szCs w:val="20"/>
          <w:lang w:val="en-US"/>
        </w:rPr>
        <w:t xml:space="preserve">Draft consent </w:t>
      </w:r>
    </w:p>
    <w:sectPr w:rsidR="0057227E" w:rsidRPr="00AD4C50" w:rsidSect="00584180">
      <w:headerReference w:type="default" r:id="rId10"/>
      <w:headerReference w:type="first" r:id="rId11"/>
      <w:pgSz w:w="11906" w:h="16838"/>
      <w:pgMar w:top="2126" w:right="1440" w:bottom="1440" w:left="136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4FBA8" w14:textId="77777777" w:rsidR="000404BF" w:rsidRDefault="000404BF">
      <w:pPr>
        <w:spacing w:after="0"/>
      </w:pPr>
      <w:r>
        <w:separator/>
      </w:r>
    </w:p>
  </w:endnote>
  <w:endnote w:type="continuationSeparator" w:id="0">
    <w:p w14:paraId="0F037892" w14:textId="77777777" w:rsidR="000404BF" w:rsidRDefault="000404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Condensed">
    <w:panose1 w:val="020B0606020202060204"/>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8AEBE" w14:textId="77777777" w:rsidR="000404BF" w:rsidRDefault="000404BF">
      <w:pPr>
        <w:spacing w:after="0"/>
      </w:pPr>
      <w:r>
        <w:separator/>
      </w:r>
    </w:p>
  </w:footnote>
  <w:footnote w:type="continuationSeparator" w:id="0">
    <w:p w14:paraId="34E6FAAD" w14:textId="77777777" w:rsidR="000404BF" w:rsidRDefault="000404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AD2C" w14:textId="77777777" w:rsidR="00146BF5" w:rsidRPr="00146BF5" w:rsidRDefault="00146BF5" w:rsidP="00146BF5">
    <w:pPr>
      <w:pStyle w:val="Header"/>
      <w:jc w:val="center"/>
      <w:rPr>
        <w:rFonts w:cs="Arial"/>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1134" w:type="dxa"/>
      <w:tblLook w:val="04A0" w:firstRow="1" w:lastRow="0" w:firstColumn="1" w:lastColumn="0" w:noHBand="0" w:noVBand="1"/>
    </w:tblPr>
    <w:tblGrid>
      <w:gridCol w:w="12551"/>
    </w:tblGrid>
    <w:tr w:rsidR="005E7E50" w14:paraId="2441A999" w14:textId="77777777" w:rsidTr="00134BFD">
      <w:trPr>
        <w:trHeight w:val="2060"/>
      </w:trPr>
      <w:tc>
        <w:tcPr>
          <w:tcW w:w="11476" w:type="dxa"/>
          <w:tcBorders>
            <w:top w:val="nil"/>
            <w:left w:val="nil"/>
            <w:bottom w:val="nil"/>
            <w:right w:val="nil"/>
          </w:tcBorders>
          <w:vAlign w:val="center"/>
        </w:tcPr>
        <w:p w14:paraId="557FD600" w14:textId="77777777" w:rsidR="001238D3" w:rsidRDefault="0009470D" w:rsidP="00EE5274">
          <w:pPr>
            <w:pStyle w:val="Header"/>
            <w:tabs>
              <w:tab w:val="clear" w:pos="9026"/>
              <w:tab w:val="center" w:pos="6282"/>
            </w:tabs>
            <w:ind w:right="431"/>
            <w:rPr>
              <w:rFonts w:cs="Arial"/>
            </w:rPr>
          </w:pPr>
          <w:r w:rsidRPr="009B2FA3">
            <w:rPr>
              <w:rFonts w:cs="Arial"/>
              <w:noProof/>
            </w:rPr>
            <w:drawing>
              <wp:inline distT="0" distB="0" distL="0" distR="0" wp14:anchorId="6B655BDF" wp14:editId="2A8270DA">
                <wp:extent cx="7559055" cy="1414275"/>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7559055" cy="1414275"/>
                        </a:xfrm>
                        <a:prstGeom prst="rect">
                          <a:avLst/>
                        </a:prstGeom>
                      </pic:spPr>
                    </pic:pic>
                  </a:graphicData>
                </a:graphic>
              </wp:inline>
            </w:drawing>
          </w:r>
        </w:p>
      </w:tc>
    </w:tr>
  </w:tbl>
  <w:p w14:paraId="06142622" w14:textId="77777777" w:rsidR="001238D3" w:rsidRDefault="001238D3" w:rsidP="009360E3">
    <w:pPr>
      <w:pStyle w:val="Header"/>
      <w:tabs>
        <w:tab w:val="clear" w:pos="9026"/>
        <w:tab w:val="center" w:pos="6282"/>
      </w:tabs>
      <w:ind w:left="-993" w:right="-818"/>
      <w:jc w:val="center"/>
      <w:rPr>
        <w:rFonts w:cs="Arial"/>
        <w:szCs w:val="20"/>
      </w:rPr>
    </w:pPr>
  </w:p>
  <w:p w14:paraId="4E0787C5" w14:textId="77777777" w:rsidR="00146BF5" w:rsidRPr="009B2FA3" w:rsidRDefault="00146BF5" w:rsidP="009360E3">
    <w:pPr>
      <w:pStyle w:val="Header"/>
      <w:tabs>
        <w:tab w:val="clear" w:pos="9026"/>
        <w:tab w:val="center" w:pos="6282"/>
      </w:tabs>
      <w:ind w:left="-993" w:right="-818"/>
      <w:jc w:val="center"/>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2060"/>
    <w:multiLevelType w:val="hybridMultilevel"/>
    <w:tmpl w:val="5EEAB48C"/>
    <w:lvl w:ilvl="0" w:tplc="0C090001">
      <w:start w:val="1"/>
      <w:numFmt w:val="bullet"/>
      <w:lvlText w:val=""/>
      <w:lvlJc w:val="left"/>
      <w:pPr>
        <w:ind w:left="720" w:hanging="360"/>
      </w:pPr>
      <w:rPr>
        <w:rFonts w:ascii="Symbol" w:hAnsi="Symbol" w:hint="default"/>
      </w:rPr>
    </w:lvl>
    <w:lvl w:ilvl="1" w:tplc="FAAE9D9A">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E296B94"/>
    <w:multiLevelType w:val="hybridMultilevel"/>
    <w:tmpl w:val="B9BCD3EA"/>
    <w:lvl w:ilvl="0" w:tplc="BD3C5FE8">
      <w:start w:val="1"/>
      <w:numFmt w:val="bullet"/>
      <w:lvlText w:val=""/>
      <w:lvlJc w:val="left"/>
      <w:pPr>
        <w:ind w:left="720" w:hanging="360"/>
      </w:pPr>
      <w:rPr>
        <w:rFonts w:ascii="Symbol" w:hAnsi="Symbol" w:hint="default"/>
      </w:rPr>
    </w:lvl>
    <w:lvl w:ilvl="1" w:tplc="9AD42580" w:tentative="1">
      <w:start w:val="1"/>
      <w:numFmt w:val="bullet"/>
      <w:lvlText w:val="o"/>
      <w:lvlJc w:val="left"/>
      <w:pPr>
        <w:ind w:left="1440" w:hanging="360"/>
      </w:pPr>
      <w:rPr>
        <w:rFonts w:ascii="Courier New" w:hAnsi="Courier New" w:cs="Courier New" w:hint="default"/>
      </w:rPr>
    </w:lvl>
    <w:lvl w:ilvl="2" w:tplc="0AC6B68C" w:tentative="1">
      <w:start w:val="1"/>
      <w:numFmt w:val="bullet"/>
      <w:lvlText w:val=""/>
      <w:lvlJc w:val="left"/>
      <w:pPr>
        <w:ind w:left="2160" w:hanging="360"/>
      </w:pPr>
      <w:rPr>
        <w:rFonts w:ascii="Wingdings" w:hAnsi="Wingdings" w:hint="default"/>
      </w:rPr>
    </w:lvl>
    <w:lvl w:ilvl="3" w:tplc="86C22274" w:tentative="1">
      <w:start w:val="1"/>
      <w:numFmt w:val="bullet"/>
      <w:lvlText w:val=""/>
      <w:lvlJc w:val="left"/>
      <w:pPr>
        <w:ind w:left="2880" w:hanging="360"/>
      </w:pPr>
      <w:rPr>
        <w:rFonts w:ascii="Symbol" w:hAnsi="Symbol" w:hint="default"/>
      </w:rPr>
    </w:lvl>
    <w:lvl w:ilvl="4" w:tplc="275A0280" w:tentative="1">
      <w:start w:val="1"/>
      <w:numFmt w:val="bullet"/>
      <w:lvlText w:val="o"/>
      <w:lvlJc w:val="left"/>
      <w:pPr>
        <w:ind w:left="3600" w:hanging="360"/>
      </w:pPr>
      <w:rPr>
        <w:rFonts w:ascii="Courier New" w:hAnsi="Courier New" w:cs="Courier New" w:hint="default"/>
      </w:rPr>
    </w:lvl>
    <w:lvl w:ilvl="5" w:tplc="3926B320" w:tentative="1">
      <w:start w:val="1"/>
      <w:numFmt w:val="bullet"/>
      <w:lvlText w:val=""/>
      <w:lvlJc w:val="left"/>
      <w:pPr>
        <w:ind w:left="4320" w:hanging="360"/>
      </w:pPr>
      <w:rPr>
        <w:rFonts w:ascii="Wingdings" w:hAnsi="Wingdings" w:hint="default"/>
      </w:rPr>
    </w:lvl>
    <w:lvl w:ilvl="6" w:tplc="468E01A6" w:tentative="1">
      <w:start w:val="1"/>
      <w:numFmt w:val="bullet"/>
      <w:lvlText w:val=""/>
      <w:lvlJc w:val="left"/>
      <w:pPr>
        <w:ind w:left="5040" w:hanging="360"/>
      </w:pPr>
      <w:rPr>
        <w:rFonts w:ascii="Symbol" w:hAnsi="Symbol" w:hint="default"/>
      </w:rPr>
    </w:lvl>
    <w:lvl w:ilvl="7" w:tplc="88D2882C" w:tentative="1">
      <w:start w:val="1"/>
      <w:numFmt w:val="bullet"/>
      <w:lvlText w:val="o"/>
      <w:lvlJc w:val="left"/>
      <w:pPr>
        <w:ind w:left="5760" w:hanging="360"/>
      </w:pPr>
      <w:rPr>
        <w:rFonts w:ascii="Courier New" w:hAnsi="Courier New" w:cs="Courier New" w:hint="default"/>
      </w:rPr>
    </w:lvl>
    <w:lvl w:ilvl="8" w:tplc="9DA8AA08" w:tentative="1">
      <w:start w:val="1"/>
      <w:numFmt w:val="bullet"/>
      <w:lvlText w:val=""/>
      <w:lvlJc w:val="left"/>
      <w:pPr>
        <w:ind w:left="6480" w:hanging="360"/>
      </w:pPr>
      <w:rPr>
        <w:rFonts w:ascii="Wingdings" w:hAnsi="Wingdings" w:hint="default"/>
      </w:rPr>
    </w:lvl>
  </w:abstractNum>
  <w:abstractNum w:abstractNumId="2" w15:restartNumberingAfterBreak="1">
    <w:nsid w:val="185E7098"/>
    <w:multiLevelType w:val="hybridMultilevel"/>
    <w:tmpl w:val="8E665BEA"/>
    <w:lvl w:ilvl="0" w:tplc="6EEA7FC8">
      <w:start w:val="1"/>
      <w:numFmt w:val="decimal"/>
      <w:lvlText w:val="%1."/>
      <w:lvlJc w:val="left"/>
      <w:pPr>
        <w:ind w:left="360" w:hanging="360"/>
      </w:pPr>
    </w:lvl>
    <w:lvl w:ilvl="1" w:tplc="A13CE522" w:tentative="1">
      <w:start w:val="1"/>
      <w:numFmt w:val="lowerLetter"/>
      <w:lvlText w:val="%2."/>
      <w:lvlJc w:val="left"/>
      <w:pPr>
        <w:ind w:left="1080" w:hanging="360"/>
      </w:pPr>
    </w:lvl>
    <w:lvl w:ilvl="2" w:tplc="CD1E833A" w:tentative="1">
      <w:start w:val="1"/>
      <w:numFmt w:val="lowerRoman"/>
      <w:lvlText w:val="%3."/>
      <w:lvlJc w:val="right"/>
      <w:pPr>
        <w:ind w:left="1800" w:hanging="180"/>
      </w:pPr>
    </w:lvl>
    <w:lvl w:ilvl="3" w:tplc="ED7E8EE6" w:tentative="1">
      <w:start w:val="1"/>
      <w:numFmt w:val="decimal"/>
      <w:lvlText w:val="%4."/>
      <w:lvlJc w:val="left"/>
      <w:pPr>
        <w:ind w:left="2520" w:hanging="360"/>
      </w:pPr>
    </w:lvl>
    <w:lvl w:ilvl="4" w:tplc="B03C9C1A" w:tentative="1">
      <w:start w:val="1"/>
      <w:numFmt w:val="lowerLetter"/>
      <w:lvlText w:val="%5."/>
      <w:lvlJc w:val="left"/>
      <w:pPr>
        <w:ind w:left="3240" w:hanging="360"/>
      </w:pPr>
    </w:lvl>
    <w:lvl w:ilvl="5" w:tplc="296CA06A" w:tentative="1">
      <w:start w:val="1"/>
      <w:numFmt w:val="lowerRoman"/>
      <w:lvlText w:val="%6."/>
      <w:lvlJc w:val="right"/>
      <w:pPr>
        <w:ind w:left="3960" w:hanging="180"/>
      </w:pPr>
    </w:lvl>
    <w:lvl w:ilvl="6" w:tplc="A48E4E88" w:tentative="1">
      <w:start w:val="1"/>
      <w:numFmt w:val="decimal"/>
      <w:lvlText w:val="%7."/>
      <w:lvlJc w:val="left"/>
      <w:pPr>
        <w:ind w:left="4680" w:hanging="360"/>
      </w:pPr>
    </w:lvl>
    <w:lvl w:ilvl="7" w:tplc="33D836BC" w:tentative="1">
      <w:start w:val="1"/>
      <w:numFmt w:val="lowerLetter"/>
      <w:lvlText w:val="%8."/>
      <w:lvlJc w:val="left"/>
      <w:pPr>
        <w:ind w:left="5400" w:hanging="360"/>
      </w:pPr>
    </w:lvl>
    <w:lvl w:ilvl="8" w:tplc="1C789CA6" w:tentative="1">
      <w:start w:val="1"/>
      <w:numFmt w:val="lowerRoman"/>
      <w:lvlText w:val="%9."/>
      <w:lvlJc w:val="right"/>
      <w:pPr>
        <w:ind w:left="6120" w:hanging="180"/>
      </w:pPr>
    </w:lvl>
  </w:abstractNum>
  <w:abstractNum w:abstractNumId="3" w15:restartNumberingAfterBreak="0">
    <w:nsid w:val="33C42B9B"/>
    <w:multiLevelType w:val="hybridMultilevel"/>
    <w:tmpl w:val="46A48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D93270"/>
    <w:multiLevelType w:val="hybridMultilevel"/>
    <w:tmpl w:val="BB86968A"/>
    <w:lvl w:ilvl="0" w:tplc="6A7804C0">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87478D"/>
    <w:multiLevelType w:val="hybridMultilevel"/>
    <w:tmpl w:val="47DC3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E74D70"/>
    <w:multiLevelType w:val="hybridMultilevel"/>
    <w:tmpl w:val="16982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B91E98"/>
    <w:multiLevelType w:val="hybridMultilevel"/>
    <w:tmpl w:val="AEFA5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56E42D50"/>
    <w:multiLevelType w:val="hybridMultilevel"/>
    <w:tmpl w:val="0922D510"/>
    <w:lvl w:ilvl="0" w:tplc="B87CE0F8">
      <w:start w:val="1"/>
      <w:numFmt w:val="bullet"/>
      <w:lvlText w:val=""/>
      <w:lvlJc w:val="left"/>
      <w:pPr>
        <w:ind w:left="720" w:hanging="360"/>
      </w:pPr>
      <w:rPr>
        <w:rFonts w:ascii="Symbol" w:hAnsi="Symbol" w:hint="default"/>
      </w:rPr>
    </w:lvl>
    <w:lvl w:ilvl="1" w:tplc="49780AFE" w:tentative="1">
      <w:start w:val="1"/>
      <w:numFmt w:val="bullet"/>
      <w:lvlText w:val="o"/>
      <w:lvlJc w:val="left"/>
      <w:pPr>
        <w:ind w:left="1440" w:hanging="360"/>
      </w:pPr>
      <w:rPr>
        <w:rFonts w:ascii="Courier New" w:hAnsi="Courier New" w:cs="Courier New" w:hint="default"/>
      </w:rPr>
    </w:lvl>
    <w:lvl w:ilvl="2" w:tplc="22268118" w:tentative="1">
      <w:start w:val="1"/>
      <w:numFmt w:val="bullet"/>
      <w:lvlText w:val=""/>
      <w:lvlJc w:val="left"/>
      <w:pPr>
        <w:ind w:left="2160" w:hanging="360"/>
      </w:pPr>
      <w:rPr>
        <w:rFonts w:ascii="Wingdings" w:hAnsi="Wingdings" w:hint="default"/>
      </w:rPr>
    </w:lvl>
    <w:lvl w:ilvl="3" w:tplc="FEBE737E" w:tentative="1">
      <w:start w:val="1"/>
      <w:numFmt w:val="bullet"/>
      <w:lvlText w:val=""/>
      <w:lvlJc w:val="left"/>
      <w:pPr>
        <w:ind w:left="2880" w:hanging="360"/>
      </w:pPr>
      <w:rPr>
        <w:rFonts w:ascii="Symbol" w:hAnsi="Symbol" w:hint="default"/>
      </w:rPr>
    </w:lvl>
    <w:lvl w:ilvl="4" w:tplc="4CA4990C" w:tentative="1">
      <w:start w:val="1"/>
      <w:numFmt w:val="bullet"/>
      <w:lvlText w:val="o"/>
      <w:lvlJc w:val="left"/>
      <w:pPr>
        <w:ind w:left="3600" w:hanging="360"/>
      </w:pPr>
      <w:rPr>
        <w:rFonts w:ascii="Courier New" w:hAnsi="Courier New" w:cs="Courier New" w:hint="default"/>
      </w:rPr>
    </w:lvl>
    <w:lvl w:ilvl="5" w:tplc="F548844A" w:tentative="1">
      <w:start w:val="1"/>
      <w:numFmt w:val="bullet"/>
      <w:lvlText w:val=""/>
      <w:lvlJc w:val="left"/>
      <w:pPr>
        <w:ind w:left="4320" w:hanging="360"/>
      </w:pPr>
      <w:rPr>
        <w:rFonts w:ascii="Wingdings" w:hAnsi="Wingdings" w:hint="default"/>
      </w:rPr>
    </w:lvl>
    <w:lvl w:ilvl="6" w:tplc="88E66094" w:tentative="1">
      <w:start w:val="1"/>
      <w:numFmt w:val="bullet"/>
      <w:lvlText w:val=""/>
      <w:lvlJc w:val="left"/>
      <w:pPr>
        <w:ind w:left="5040" w:hanging="360"/>
      </w:pPr>
      <w:rPr>
        <w:rFonts w:ascii="Symbol" w:hAnsi="Symbol" w:hint="default"/>
      </w:rPr>
    </w:lvl>
    <w:lvl w:ilvl="7" w:tplc="75001DB4" w:tentative="1">
      <w:start w:val="1"/>
      <w:numFmt w:val="bullet"/>
      <w:lvlText w:val="o"/>
      <w:lvlJc w:val="left"/>
      <w:pPr>
        <w:ind w:left="5760" w:hanging="360"/>
      </w:pPr>
      <w:rPr>
        <w:rFonts w:ascii="Courier New" w:hAnsi="Courier New" w:cs="Courier New" w:hint="default"/>
      </w:rPr>
    </w:lvl>
    <w:lvl w:ilvl="8" w:tplc="F392DDA8" w:tentative="1">
      <w:start w:val="1"/>
      <w:numFmt w:val="bullet"/>
      <w:lvlText w:val=""/>
      <w:lvlJc w:val="left"/>
      <w:pPr>
        <w:ind w:left="6480" w:hanging="360"/>
      </w:pPr>
      <w:rPr>
        <w:rFonts w:ascii="Wingdings" w:hAnsi="Wingdings" w:hint="default"/>
      </w:rPr>
    </w:lvl>
  </w:abstractNum>
  <w:abstractNum w:abstractNumId="9" w15:restartNumberingAfterBreak="0">
    <w:nsid w:val="5AD01947"/>
    <w:multiLevelType w:val="hybridMultilevel"/>
    <w:tmpl w:val="E9EA5D46"/>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62CA2C93"/>
    <w:multiLevelType w:val="hybridMultilevel"/>
    <w:tmpl w:val="635C3E2E"/>
    <w:lvl w:ilvl="0" w:tplc="91701702">
      <w:start w:val="1"/>
      <w:numFmt w:val="decimal"/>
      <w:lvlText w:val="%1."/>
      <w:lvlJc w:val="left"/>
      <w:pPr>
        <w:ind w:left="360" w:hanging="360"/>
      </w:pPr>
    </w:lvl>
    <w:lvl w:ilvl="1" w:tplc="2CFE90CC">
      <w:start w:val="1"/>
      <w:numFmt w:val="lowerLetter"/>
      <w:lvlText w:val="%2."/>
      <w:lvlJc w:val="left"/>
      <w:pPr>
        <w:ind w:left="1080" w:hanging="360"/>
      </w:pPr>
    </w:lvl>
    <w:lvl w:ilvl="2" w:tplc="4EEC0400">
      <w:start w:val="1"/>
      <w:numFmt w:val="lowerRoman"/>
      <w:lvlText w:val="%3."/>
      <w:lvlJc w:val="right"/>
      <w:pPr>
        <w:ind w:left="1800" w:hanging="180"/>
      </w:pPr>
    </w:lvl>
    <w:lvl w:ilvl="3" w:tplc="F71EF7EE">
      <w:start w:val="1"/>
      <w:numFmt w:val="decimal"/>
      <w:lvlText w:val="%4."/>
      <w:lvlJc w:val="left"/>
      <w:pPr>
        <w:ind w:left="2520" w:hanging="360"/>
      </w:pPr>
    </w:lvl>
    <w:lvl w:ilvl="4" w:tplc="13DE80BC">
      <w:start w:val="1"/>
      <w:numFmt w:val="lowerLetter"/>
      <w:lvlText w:val="%5."/>
      <w:lvlJc w:val="left"/>
      <w:pPr>
        <w:ind w:left="3240" w:hanging="360"/>
      </w:pPr>
    </w:lvl>
    <w:lvl w:ilvl="5" w:tplc="0DB05610">
      <w:start w:val="1"/>
      <w:numFmt w:val="lowerRoman"/>
      <w:lvlText w:val="%6."/>
      <w:lvlJc w:val="right"/>
      <w:pPr>
        <w:ind w:left="3960" w:hanging="180"/>
      </w:pPr>
    </w:lvl>
    <w:lvl w:ilvl="6" w:tplc="2D848232">
      <w:start w:val="1"/>
      <w:numFmt w:val="decimal"/>
      <w:lvlText w:val="%7."/>
      <w:lvlJc w:val="left"/>
      <w:pPr>
        <w:ind w:left="4680" w:hanging="360"/>
      </w:pPr>
    </w:lvl>
    <w:lvl w:ilvl="7" w:tplc="32A8AA24">
      <w:start w:val="1"/>
      <w:numFmt w:val="lowerLetter"/>
      <w:lvlText w:val="%8."/>
      <w:lvlJc w:val="left"/>
      <w:pPr>
        <w:ind w:left="5400" w:hanging="360"/>
      </w:pPr>
    </w:lvl>
    <w:lvl w:ilvl="8" w:tplc="CE1EFA5A">
      <w:start w:val="1"/>
      <w:numFmt w:val="lowerRoman"/>
      <w:lvlText w:val="%9."/>
      <w:lvlJc w:val="right"/>
      <w:pPr>
        <w:ind w:left="6120" w:hanging="180"/>
      </w:pPr>
    </w:lvl>
  </w:abstractNum>
  <w:abstractNum w:abstractNumId="11" w15:restartNumberingAfterBreak="1">
    <w:nsid w:val="68AF5B93"/>
    <w:multiLevelType w:val="multilevel"/>
    <w:tmpl w:val="B7F24CFE"/>
    <w:styleLink w:val="HeadingList"/>
    <w:lvl w:ilvl="0">
      <w:start w:val="1"/>
      <w:numFmt w:val="decimal"/>
      <w:pStyle w:val="79CHeading1"/>
      <w:suff w:val="space"/>
      <w:lvlText w:val="%1"/>
      <w:lvlJc w:val="left"/>
      <w:pPr>
        <w:ind w:left="0" w:firstLine="0"/>
      </w:pPr>
    </w:lvl>
    <w:lvl w:ilvl="1">
      <w:start w:val="1"/>
      <w:numFmt w:val="decimal"/>
      <w:pStyle w:val="79CHeading2"/>
      <w:suff w:val="space"/>
      <w:lvlText w:val="%1.%2"/>
      <w:lvlJc w:val="left"/>
      <w:pPr>
        <w:ind w:left="0" w:firstLine="0"/>
      </w:pPr>
    </w:lvl>
    <w:lvl w:ilvl="2">
      <w:start w:val="1"/>
      <w:numFmt w:val="decimal"/>
      <w:pStyle w:val="79CHeading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1">
    <w:nsid w:val="6F1E0ECD"/>
    <w:multiLevelType w:val="hybridMultilevel"/>
    <w:tmpl w:val="C504B238"/>
    <w:lvl w:ilvl="0" w:tplc="097C2CE0">
      <w:start w:val="1"/>
      <w:numFmt w:val="decimal"/>
      <w:lvlText w:val="%1."/>
      <w:lvlJc w:val="left"/>
      <w:pPr>
        <w:ind w:left="360" w:hanging="360"/>
      </w:pPr>
    </w:lvl>
    <w:lvl w:ilvl="1" w:tplc="02108D28" w:tentative="1">
      <w:start w:val="1"/>
      <w:numFmt w:val="lowerLetter"/>
      <w:lvlText w:val="%2."/>
      <w:lvlJc w:val="left"/>
      <w:pPr>
        <w:ind w:left="1080" w:hanging="360"/>
      </w:pPr>
    </w:lvl>
    <w:lvl w:ilvl="2" w:tplc="BDEC8CE8" w:tentative="1">
      <w:start w:val="1"/>
      <w:numFmt w:val="lowerRoman"/>
      <w:lvlText w:val="%3."/>
      <w:lvlJc w:val="right"/>
      <w:pPr>
        <w:ind w:left="1800" w:hanging="180"/>
      </w:pPr>
    </w:lvl>
    <w:lvl w:ilvl="3" w:tplc="30B84A90" w:tentative="1">
      <w:start w:val="1"/>
      <w:numFmt w:val="decimal"/>
      <w:lvlText w:val="%4."/>
      <w:lvlJc w:val="left"/>
      <w:pPr>
        <w:ind w:left="2520" w:hanging="360"/>
      </w:pPr>
    </w:lvl>
    <w:lvl w:ilvl="4" w:tplc="FBA0EC1A" w:tentative="1">
      <w:start w:val="1"/>
      <w:numFmt w:val="lowerLetter"/>
      <w:lvlText w:val="%5."/>
      <w:lvlJc w:val="left"/>
      <w:pPr>
        <w:ind w:left="3240" w:hanging="360"/>
      </w:pPr>
    </w:lvl>
    <w:lvl w:ilvl="5" w:tplc="63B81B02" w:tentative="1">
      <w:start w:val="1"/>
      <w:numFmt w:val="lowerRoman"/>
      <w:lvlText w:val="%6."/>
      <w:lvlJc w:val="right"/>
      <w:pPr>
        <w:ind w:left="3960" w:hanging="180"/>
      </w:pPr>
    </w:lvl>
    <w:lvl w:ilvl="6" w:tplc="8BE074F0" w:tentative="1">
      <w:start w:val="1"/>
      <w:numFmt w:val="decimal"/>
      <w:lvlText w:val="%7."/>
      <w:lvlJc w:val="left"/>
      <w:pPr>
        <w:ind w:left="4680" w:hanging="360"/>
      </w:pPr>
    </w:lvl>
    <w:lvl w:ilvl="7" w:tplc="7B481C80" w:tentative="1">
      <w:start w:val="1"/>
      <w:numFmt w:val="lowerLetter"/>
      <w:lvlText w:val="%8."/>
      <w:lvlJc w:val="left"/>
      <w:pPr>
        <w:ind w:left="5400" w:hanging="360"/>
      </w:pPr>
    </w:lvl>
    <w:lvl w:ilvl="8" w:tplc="CE648580" w:tentative="1">
      <w:start w:val="1"/>
      <w:numFmt w:val="lowerRoman"/>
      <w:lvlText w:val="%9."/>
      <w:lvlJc w:val="right"/>
      <w:pPr>
        <w:ind w:left="6120" w:hanging="180"/>
      </w:pPr>
    </w:lvl>
  </w:abstractNum>
  <w:abstractNum w:abstractNumId="13" w15:restartNumberingAfterBreak="1">
    <w:nsid w:val="70506ED9"/>
    <w:multiLevelType w:val="hybridMultilevel"/>
    <w:tmpl w:val="B39C1792"/>
    <w:lvl w:ilvl="0" w:tplc="C890C8E0">
      <w:start w:val="1"/>
      <w:numFmt w:val="bullet"/>
      <w:lvlText w:val=""/>
      <w:lvlJc w:val="left"/>
      <w:pPr>
        <w:ind w:left="720" w:hanging="360"/>
      </w:pPr>
      <w:rPr>
        <w:rFonts w:ascii="Symbol" w:hAnsi="Symbol" w:hint="default"/>
      </w:rPr>
    </w:lvl>
    <w:lvl w:ilvl="1" w:tplc="E3DAC40E" w:tentative="1">
      <w:start w:val="1"/>
      <w:numFmt w:val="bullet"/>
      <w:lvlText w:val="o"/>
      <w:lvlJc w:val="left"/>
      <w:pPr>
        <w:ind w:left="1440" w:hanging="360"/>
      </w:pPr>
      <w:rPr>
        <w:rFonts w:ascii="Courier New" w:hAnsi="Courier New" w:cs="Courier New" w:hint="default"/>
      </w:rPr>
    </w:lvl>
    <w:lvl w:ilvl="2" w:tplc="EDA0AE20" w:tentative="1">
      <w:start w:val="1"/>
      <w:numFmt w:val="bullet"/>
      <w:lvlText w:val=""/>
      <w:lvlJc w:val="left"/>
      <w:pPr>
        <w:ind w:left="2160" w:hanging="360"/>
      </w:pPr>
      <w:rPr>
        <w:rFonts w:ascii="Wingdings" w:hAnsi="Wingdings" w:hint="default"/>
      </w:rPr>
    </w:lvl>
    <w:lvl w:ilvl="3" w:tplc="B4FCCC28" w:tentative="1">
      <w:start w:val="1"/>
      <w:numFmt w:val="bullet"/>
      <w:lvlText w:val=""/>
      <w:lvlJc w:val="left"/>
      <w:pPr>
        <w:ind w:left="2880" w:hanging="360"/>
      </w:pPr>
      <w:rPr>
        <w:rFonts w:ascii="Symbol" w:hAnsi="Symbol" w:hint="default"/>
      </w:rPr>
    </w:lvl>
    <w:lvl w:ilvl="4" w:tplc="B010CFFA" w:tentative="1">
      <w:start w:val="1"/>
      <w:numFmt w:val="bullet"/>
      <w:lvlText w:val="o"/>
      <w:lvlJc w:val="left"/>
      <w:pPr>
        <w:ind w:left="3600" w:hanging="360"/>
      </w:pPr>
      <w:rPr>
        <w:rFonts w:ascii="Courier New" w:hAnsi="Courier New" w:cs="Courier New" w:hint="default"/>
      </w:rPr>
    </w:lvl>
    <w:lvl w:ilvl="5" w:tplc="69EC067E" w:tentative="1">
      <w:start w:val="1"/>
      <w:numFmt w:val="bullet"/>
      <w:lvlText w:val=""/>
      <w:lvlJc w:val="left"/>
      <w:pPr>
        <w:ind w:left="4320" w:hanging="360"/>
      </w:pPr>
      <w:rPr>
        <w:rFonts w:ascii="Wingdings" w:hAnsi="Wingdings" w:hint="default"/>
      </w:rPr>
    </w:lvl>
    <w:lvl w:ilvl="6" w:tplc="636210EA" w:tentative="1">
      <w:start w:val="1"/>
      <w:numFmt w:val="bullet"/>
      <w:lvlText w:val=""/>
      <w:lvlJc w:val="left"/>
      <w:pPr>
        <w:ind w:left="5040" w:hanging="360"/>
      </w:pPr>
      <w:rPr>
        <w:rFonts w:ascii="Symbol" w:hAnsi="Symbol" w:hint="default"/>
      </w:rPr>
    </w:lvl>
    <w:lvl w:ilvl="7" w:tplc="457292E0" w:tentative="1">
      <w:start w:val="1"/>
      <w:numFmt w:val="bullet"/>
      <w:lvlText w:val="o"/>
      <w:lvlJc w:val="left"/>
      <w:pPr>
        <w:ind w:left="5760" w:hanging="360"/>
      </w:pPr>
      <w:rPr>
        <w:rFonts w:ascii="Courier New" w:hAnsi="Courier New" w:cs="Courier New" w:hint="default"/>
      </w:rPr>
    </w:lvl>
    <w:lvl w:ilvl="8" w:tplc="28AE1854" w:tentative="1">
      <w:start w:val="1"/>
      <w:numFmt w:val="bullet"/>
      <w:lvlText w:val=""/>
      <w:lvlJc w:val="left"/>
      <w:pPr>
        <w:ind w:left="6480" w:hanging="360"/>
      </w:pPr>
      <w:rPr>
        <w:rFonts w:ascii="Wingdings" w:hAnsi="Wingdings" w:hint="default"/>
      </w:rPr>
    </w:lvl>
  </w:abstractNum>
  <w:abstractNum w:abstractNumId="14" w15:restartNumberingAfterBreak="0">
    <w:nsid w:val="74885CCE"/>
    <w:multiLevelType w:val="hybridMultilevel"/>
    <w:tmpl w:val="32D8EFE2"/>
    <w:lvl w:ilvl="0" w:tplc="1440401C">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2A3CB6"/>
    <w:multiLevelType w:val="hybridMultilevel"/>
    <w:tmpl w:val="7F600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13"/>
  </w:num>
  <w:num w:numId="5">
    <w:abstractNumId w:val="11"/>
  </w:num>
  <w:num w:numId="6">
    <w:abstractNumId w:val="10"/>
  </w:num>
  <w:num w:numId="7">
    <w:abstractNumId w:val="14"/>
  </w:num>
  <w:num w:numId="8">
    <w:abstractNumId w:val="15"/>
  </w:num>
  <w:num w:numId="9">
    <w:abstractNumId w:val="4"/>
  </w:num>
  <w:num w:numId="10">
    <w:abstractNumId w:val="9"/>
  </w:num>
  <w:num w:numId="11">
    <w:abstractNumId w:val="6"/>
  </w:num>
  <w:num w:numId="12">
    <w:abstractNumId w:val="0"/>
  </w:num>
  <w:num w:numId="13">
    <w:abstractNumId w:val="10"/>
  </w:num>
  <w:num w:numId="14">
    <w:abstractNumId w:val="12"/>
  </w:num>
  <w:num w:numId="15">
    <w:abstractNumId w:val="7"/>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F5"/>
    <w:rsid w:val="00001A58"/>
    <w:rsid w:val="000144B5"/>
    <w:rsid w:val="00014771"/>
    <w:rsid w:val="00020A13"/>
    <w:rsid w:val="00020E07"/>
    <w:rsid w:val="00021427"/>
    <w:rsid w:val="000227FD"/>
    <w:rsid w:val="0002782C"/>
    <w:rsid w:val="00031A5C"/>
    <w:rsid w:val="00033B77"/>
    <w:rsid w:val="00036E69"/>
    <w:rsid w:val="000404BF"/>
    <w:rsid w:val="00040A56"/>
    <w:rsid w:val="00043EF8"/>
    <w:rsid w:val="00047ABA"/>
    <w:rsid w:val="00051BE6"/>
    <w:rsid w:val="00051C34"/>
    <w:rsid w:val="00056BC6"/>
    <w:rsid w:val="000653CE"/>
    <w:rsid w:val="00072B63"/>
    <w:rsid w:val="0007606D"/>
    <w:rsid w:val="00080F8E"/>
    <w:rsid w:val="00086725"/>
    <w:rsid w:val="00091598"/>
    <w:rsid w:val="000915EB"/>
    <w:rsid w:val="00092403"/>
    <w:rsid w:val="00093E87"/>
    <w:rsid w:val="0009470D"/>
    <w:rsid w:val="000A30AC"/>
    <w:rsid w:val="000A449D"/>
    <w:rsid w:val="000A66B8"/>
    <w:rsid w:val="000B522E"/>
    <w:rsid w:val="000C330C"/>
    <w:rsid w:val="000C45BB"/>
    <w:rsid w:val="000C6369"/>
    <w:rsid w:val="000D2E01"/>
    <w:rsid w:val="000D7256"/>
    <w:rsid w:val="000E2E8E"/>
    <w:rsid w:val="000E7453"/>
    <w:rsid w:val="000F7927"/>
    <w:rsid w:val="000F7B8B"/>
    <w:rsid w:val="00102818"/>
    <w:rsid w:val="00107F59"/>
    <w:rsid w:val="00111DF9"/>
    <w:rsid w:val="00114529"/>
    <w:rsid w:val="001238D3"/>
    <w:rsid w:val="0012568D"/>
    <w:rsid w:val="001268F1"/>
    <w:rsid w:val="00134BFD"/>
    <w:rsid w:val="0013598A"/>
    <w:rsid w:val="00146BF5"/>
    <w:rsid w:val="00153C96"/>
    <w:rsid w:val="00154359"/>
    <w:rsid w:val="001545B9"/>
    <w:rsid w:val="00162E8A"/>
    <w:rsid w:val="00165DDD"/>
    <w:rsid w:val="001743E8"/>
    <w:rsid w:val="0017775B"/>
    <w:rsid w:val="00182BE0"/>
    <w:rsid w:val="00183629"/>
    <w:rsid w:val="00186BA4"/>
    <w:rsid w:val="00187791"/>
    <w:rsid w:val="001903FE"/>
    <w:rsid w:val="0019239E"/>
    <w:rsid w:val="001A0501"/>
    <w:rsid w:val="001A06EC"/>
    <w:rsid w:val="001A26D7"/>
    <w:rsid w:val="001A5D95"/>
    <w:rsid w:val="001A7E59"/>
    <w:rsid w:val="001B0EEF"/>
    <w:rsid w:val="001B24F4"/>
    <w:rsid w:val="001B6A35"/>
    <w:rsid w:val="001C128B"/>
    <w:rsid w:val="001C3062"/>
    <w:rsid w:val="001C5BCF"/>
    <w:rsid w:val="001C6D76"/>
    <w:rsid w:val="001E3A7C"/>
    <w:rsid w:val="001F6AC8"/>
    <w:rsid w:val="00201E17"/>
    <w:rsid w:val="00202488"/>
    <w:rsid w:val="002063FB"/>
    <w:rsid w:val="0020650C"/>
    <w:rsid w:val="00207A0C"/>
    <w:rsid w:val="00215A30"/>
    <w:rsid w:val="00216759"/>
    <w:rsid w:val="00220FC9"/>
    <w:rsid w:val="00225F82"/>
    <w:rsid w:val="002309F1"/>
    <w:rsid w:val="0023319E"/>
    <w:rsid w:val="00233CF0"/>
    <w:rsid w:val="002344D8"/>
    <w:rsid w:val="0023599E"/>
    <w:rsid w:val="00237E50"/>
    <w:rsid w:val="00250DB3"/>
    <w:rsid w:val="00254235"/>
    <w:rsid w:val="00255AD0"/>
    <w:rsid w:val="00263E34"/>
    <w:rsid w:val="002642AF"/>
    <w:rsid w:val="00267065"/>
    <w:rsid w:val="00270671"/>
    <w:rsid w:val="00271D59"/>
    <w:rsid w:val="00276611"/>
    <w:rsid w:val="00277B6E"/>
    <w:rsid w:val="002850C6"/>
    <w:rsid w:val="002879D3"/>
    <w:rsid w:val="00290F05"/>
    <w:rsid w:val="00291017"/>
    <w:rsid w:val="00295F4F"/>
    <w:rsid w:val="002A1B65"/>
    <w:rsid w:val="002A65D9"/>
    <w:rsid w:val="002A6834"/>
    <w:rsid w:val="002B3E91"/>
    <w:rsid w:val="002B4DA8"/>
    <w:rsid w:val="002C36CA"/>
    <w:rsid w:val="002C5466"/>
    <w:rsid w:val="002D597B"/>
    <w:rsid w:val="002D6612"/>
    <w:rsid w:val="002D6CD4"/>
    <w:rsid w:val="002D787B"/>
    <w:rsid w:val="002D79B1"/>
    <w:rsid w:val="002E7763"/>
    <w:rsid w:val="002F7788"/>
    <w:rsid w:val="00302975"/>
    <w:rsid w:val="00302A34"/>
    <w:rsid w:val="00303141"/>
    <w:rsid w:val="003107B1"/>
    <w:rsid w:val="00311D3D"/>
    <w:rsid w:val="00312E13"/>
    <w:rsid w:val="0032513E"/>
    <w:rsid w:val="00330C4A"/>
    <w:rsid w:val="003316FA"/>
    <w:rsid w:val="00335C3A"/>
    <w:rsid w:val="00340F9D"/>
    <w:rsid w:val="0034414F"/>
    <w:rsid w:val="003462A0"/>
    <w:rsid w:val="003513A5"/>
    <w:rsid w:val="00353962"/>
    <w:rsid w:val="0035470F"/>
    <w:rsid w:val="00355D03"/>
    <w:rsid w:val="00361EDE"/>
    <w:rsid w:val="00363AEB"/>
    <w:rsid w:val="003672E0"/>
    <w:rsid w:val="003731B1"/>
    <w:rsid w:val="003737D7"/>
    <w:rsid w:val="0037476E"/>
    <w:rsid w:val="00380756"/>
    <w:rsid w:val="00381277"/>
    <w:rsid w:val="00384950"/>
    <w:rsid w:val="00384E20"/>
    <w:rsid w:val="003860E1"/>
    <w:rsid w:val="003A08AD"/>
    <w:rsid w:val="003B36A7"/>
    <w:rsid w:val="003B6D7B"/>
    <w:rsid w:val="003C13D5"/>
    <w:rsid w:val="003C4751"/>
    <w:rsid w:val="003E0234"/>
    <w:rsid w:val="003E31F0"/>
    <w:rsid w:val="003E59B0"/>
    <w:rsid w:val="003E5F27"/>
    <w:rsid w:val="003F2A76"/>
    <w:rsid w:val="00403847"/>
    <w:rsid w:val="00417C96"/>
    <w:rsid w:val="004202A0"/>
    <w:rsid w:val="004220A4"/>
    <w:rsid w:val="00424105"/>
    <w:rsid w:val="0042513D"/>
    <w:rsid w:val="004359BF"/>
    <w:rsid w:val="00437E86"/>
    <w:rsid w:val="00444313"/>
    <w:rsid w:val="00444EEC"/>
    <w:rsid w:val="004507FB"/>
    <w:rsid w:val="0046581C"/>
    <w:rsid w:val="00481B0B"/>
    <w:rsid w:val="00483ABE"/>
    <w:rsid w:val="00483C67"/>
    <w:rsid w:val="004932E9"/>
    <w:rsid w:val="004A0B2E"/>
    <w:rsid w:val="004A236E"/>
    <w:rsid w:val="004A285F"/>
    <w:rsid w:val="004A5F03"/>
    <w:rsid w:val="004B5A74"/>
    <w:rsid w:val="004C7A5D"/>
    <w:rsid w:val="004D19A3"/>
    <w:rsid w:val="004D447A"/>
    <w:rsid w:val="004D7A0B"/>
    <w:rsid w:val="004E5721"/>
    <w:rsid w:val="005030B7"/>
    <w:rsid w:val="005109CE"/>
    <w:rsid w:val="00524A49"/>
    <w:rsid w:val="005264E0"/>
    <w:rsid w:val="00530658"/>
    <w:rsid w:val="00533014"/>
    <w:rsid w:val="0053370A"/>
    <w:rsid w:val="005338F6"/>
    <w:rsid w:val="0053674F"/>
    <w:rsid w:val="005507E4"/>
    <w:rsid w:val="00553A4F"/>
    <w:rsid w:val="00554A4A"/>
    <w:rsid w:val="00554D3D"/>
    <w:rsid w:val="00554DE2"/>
    <w:rsid w:val="0055588D"/>
    <w:rsid w:val="005600AA"/>
    <w:rsid w:val="0056233A"/>
    <w:rsid w:val="00564ECE"/>
    <w:rsid w:val="0057227E"/>
    <w:rsid w:val="00580A5D"/>
    <w:rsid w:val="00581BB6"/>
    <w:rsid w:val="0058366F"/>
    <w:rsid w:val="00583B6B"/>
    <w:rsid w:val="00584180"/>
    <w:rsid w:val="0059191E"/>
    <w:rsid w:val="00593ABA"/>
    <w:rsid w:val="00595972"/>
    <w:rsid w:val="005A1A89"/>
    <w:rsid w:val="005A2049"/>
    <w:rsid w:val="005A74C7"/>
    <w:rsid w:val="005B216B"/>
    <w:rsid w:val="005B2D72"/>
    <w:rsid w:val="005B4D8F"/>
    <w:rsid w:val="005E41CF"/>
    <w:rsid w:val="005E7E50"/>
    <w:rsid w:val="005F31FF"/>
    <w:rsid w:val="005F5046"/>
    <w:rsid w:val="005F6C61"/>
    <w:rsid w:val="006013D2"/>
    <w:rsid w:val="0060529D"/>
    <w:rsid w:val="006101B5"/>
    <w:rsid w:val="00610DB5"/>
    <w:rsid w:val="00614B68"/>
    <w:rsid w:val="00624948"/>
    <w:rsid w:val="006257D8"/>
    <w:rsid w:val="00630216"/>
    <w:rsid w:val="0063067B"/>
    <w:rsid w:val="006306E0"/>
    <w:rsid w:val="006326F8"/>
    <w:rsid w:val="0063451A"/>
    <w:rsid w:val="0063611D"/>
    <w:rsid w:val="00636B6E"/>
    <w:rsid w:val="00641D6E"/>
    <w:rsid w:val="00642F23"/>
    <w:rsid w:val="00655668"/>
    <w:rsid w:val="00660191"/>
    <w:rsid w:val="00663022"/>
    <w:rsid w:val="00666E8F"/>
    <w:rsid w:val="006705A9"/>
    <w:rsid w:val="00683D16"/>
    <w:rsid w:val="006912FE"/>
    <w:rsid w:val="006952A7"/>
    <w:rsid w:val="00695A74"/>
    <w:rsid w:val="006A2C5C"/>
    <w:rsid w:val="006B0FD1"/>
    <w:rsid w:val="006B30DF"/>
    <w:rsid w:val="006B4048"/>
    <w:rsid w:val="006B4ABD"/>
    <w:rsid w:val="006C3DB7"/>
    <w:rsid w:val="006C5444"/>
    <w:rsid w:val="006D318B"/>
    <w:rsid w:val="006E1573"/>
    <w:rsid w:val="006E2FE1"/>
    <w:rsid w:val="006F7DCB"/>
    <w:rsid w:val="00700FFF"/>
    <w:rsid w:val="00723F70"/>
    <w:rsid w:val="007263E2"/>
    <w:rsid w:val="00727BAA"/>
    <w:rsid w:val="00730C84"/>
    <w:rsid w:val="00735535"/>
    <w:rsid w:val="0074027D"/>
    <w:rsid w:val="00740A3B"/>
    <w:rsid w:val="007413E7"/>
    <w:rsid w:val="00742CA1"/>
    <w:rsid w:val="00751023"/>
    <w:rsid w:val="00751D99"/>
    <w:rsid w:val="00756686"/>
    <w:rsid w:val="00756C69"/>
    <w:rsid w:val="00757789"/>
    <w:rsid w:val="00764007"/>
    <w:rsid w:val="00774269"/>
    <w:rsid w:val="007753DD"/>
    <w:rsid w:val="00775CBC"/>
    <w:rsid w:val="007839CB"/>
    <w:rsid w:val="00790212"/>
    <w:rsid w:val="00795E2F"/>
    <w:rsid w:val="00797B26"/>
    <w:rsid w:val="007A029D"/>
    <w:rsid w:val="007A1661"/>
    <w:rsid w:val="007A5318"/>
    <w:rsid w:val="007B289A"/>
    <w:rsid w:val="007B5579"/>
    <w:rsid w:val="007C2389"/>
    <w:rsid w:val="007C38CB"/>
    <w:rsid w:val="007C6262"/>
    <w:rsid w:val="007C6E45"/>
    <w:rsid w:val="007C6F6A"/>
    <w:rsid w:val="007D0BAC"/>
    <w:rsid w:val="007D145A"/>
    <w:rsid w:val="007D54AE"/>
    <w:rsid w:val="007E3139"/>
    <w:rsid w:val="007E4166"/>
    <w:rsid w:val="007E4904"/>
    <w:rsid w:val="007F3A51"/>
    <w:rsid w:val="00801407"/>
    <w:rsid w:val="00803358"/>
    <w:rsid w:val="008132AF"/>
    <w:rsid w:val="0081737D"/>
    <w:rsid w:val="00825E21"/>
    <w:rsid w:val="00827B7D"/>
    <w:rsid w:val="00832CF7"/>
    <w:rsid w:val="00833223"/>
    <w:rsid w:val="008333EC"/>
    <w:rsid w:val="00837872"/>
    <w:rsid w:val="008430F4"/>
    <w:rsid w:val="008516B5"/>
    <w:rsid w:val="00860E78"/>
    <w:rsid w:val="00873AFA"/>
    <w:rsid w:val="008845E2"/>
    <w:rsid w:val="008857B5"/>
    <w:rsid w:val="00885B60"/>
    <w:rsid w:val="0089203A"/>
    <w:rsid w:val="008939A8"/>
    <w:rsid w:val="00895802"/>
    <w:rsid w:val="008A5299"/>
    <w:rsid w:val="008B6FF6"/>
    <w:rsid w:val="008C1BAC"/>
    <w:rsid w:val="008C4F71"/>
    <w:rsid w:val="008D58F2"/>
    <w:rsid w:val="008D605D"/>
    <w:rsid w:val="008E1B15"/>
    <w:rsid w:val="008E1B3F"/>
    <w:rsid w:val="008E4D5A"/>
    <w:rsid w:val="008E4EF0"/>
    <w:rsid w:val="008E6608"/>
    <w:rsid w:val="008F5305"/>
    <w:rsid w:val="0090538E"/>
    <w:rsid w:val="009125BD"/>
    <w:rsid w:val="00912EF5"/>
    <w:rsid w:val="009130F7"/>
    <w:rsid w:val="009135A5"/>
    <w:rsid w:val="009159A7"/>
    <w:rsid w:val="00917804"/>
    <w:rsid w:val="009179B6"/>
    <w:rsid w:val="00926099"/>
    <w:rsid w:val="009360E3"/>
    <w:rsid w:val="00936EB9"/>
    <w:rsid w:val="0094245D"/>
    <w:rsid w:val="00951966"/>
    <w:rsid w:val="00951A00"/>
    <w:rsid w:val="00955A60"/>
    <w:rsid w:val="00957530"/>
    <w:rsid w:val="00960183"/>
    <w:rsid w:val="00963830"/>
    <w:rsid w:val="009716E8"/>
    <w:rsid w:val="00972DC3"/>
    <w:rsid w:val="009766AF"/>
    <w:rsid w:val="00976FF5"/>
    <w:rsid w:val="00984F24"/>
    <w:rsid w:val="009937CE"/>
    <w:rsid w:val="0099613F"/>
    <w:rsid w:val="009A2789"/>
    <w:rsid w:val="009A2CE5"/>
    <w:rsid w:val="009A7941"/>
    <w:rsid w:val="009B2211"/>
    <w:rsid w:val="009B2FA3"/>
    <w:rsid w:val="009B5B41"/>
    <w:rsid w:val="009E0B55"/>
    <w:rsid w:val="009E23F2"/>
    <w:rsid w:val="009E2492"/>
    <w:rsid w:val="009E267B"/>
    <w:rsid w:val="009E6339"/>
    <w:rsid w:val="009E670D"/>
    <w:rsid w:val="009F3EED"/>
    <w:rsid w:val="00A005F2"/>
    <w:rsid w:val="00A0400F"/>
    <w:rsid w:val="00A11F41"/>
    <w:rsid w:val="00A12B9E"/>
    <w:rsid w:val="00A131FC"/>
    <w:rsid w:val="00A21948"/>
    <w:rsid w:val="00A27B9B"/>
    <w:rsid w:val="00A3119F"/>
    <w:rsid w:val="00A325CB"/>
    <w:rsid w:val="00A41A2E"/>
    <w:rsid w:val="00A441D5"/>
    <w:rsid w:val="00A44A01"/>
    <w:rsid w:val="00A50700"/>
    <w:rsid w:val="00A512DE"/>
    <w:rsid w:val="00A61B62"/>
    <w:rsid w:val="00A7075F"/>
    <w:rsid w:val="00A71D3C"/>
    <w:rsid w:val="00A7267A"/>
    <w:rsid w:val="00A73A82"/>
    <w:rsid w:val="00A76097"/>
    <w:rsid w:val="00A82483"/>
    <w:rsid w:val="00A86B50"/>
    <w:rsid w:val="00A9053B"/>
    <w:rsid w:val="00A908FF"/>
    <w:rsid w:val="00A910CC"/>
    <w:rsid w:val="00A93BB6"/>
    <w:rsid w:val="00A9468B"/>
    <w:rsid w:val="00AA0255"/>
    <w:rsid w:val="00AA39CE"/>
    <w:rsid w:val="00AC760B"/>
    <w:rsid w:val="00AD4C50"/>
    <w:rsid w:val="00AE3335"/>
    <w:rsid w:val="00AE4AC2"/>
    <w:rsid w:val="00AF3AD2"/>
    <w:rsid w:val="00B02841"/>
    <w:rsid w:val="00B13230"/>
    <w:rsid w:val="00B13371"/>
    <w:rsid w:val="00B23290"/>
    <w:rsid w:val="00B33621"/>
    <w:rsid w:val="00B35B05"/>
    <w:rsid w:val="00B403D4"/>
    <w:rsid w:val="00B4265D"/>
    <w:rsid w:val="00B439F6"/>
    <w:rsid w:val="00B538AC"/>
    <w:rsid w:val="00B5489B"/>
    <w:rsid w:val="00B5670D"/>
    <w:rsid w:val="00B60C5C"/>
    <w:rsid w:val="00B63232"/>
    <w:rsid w:val="00B707F3"/>
    <w:rsid w:val="00B71066"/>
    <w:rsid w:val="00B80E6C"/>
    <w:rsid w:val="00B81CA4"/>
    <w:rsid w:val="00B83944"/>
    <w:rsid w:val="00B84678"/>
    <w:rsid w:val="00BA030E"/>
    <w:rsid w:val="00BA562E"/>
    <w:rsid w:val="00BA611C"/>
    <w:rsid w:val="00BA72FD"/>
    <w:rsid w:val="00BB339C"/>
    <w:rsid w:val="00BB6D29"/>
    <w:rsid w:val="00BC1069"/>
    <w:rsid w:val="00BC26B0"/>
    <w:rsid w:val="00BC383F"/>
    <w:rsid w:val="00BD581F"/>
    <w:rsid w:val="00BE0E83"/>
    <w:rsid w:val="00BE3B23"/>
    <w:rsid w:val="00BF008B"/>
    <w:rsid w:val="00C058B4"/>
    <w:rsid w:val="00C16BB4"/>
    <w:rsid w:val="00C27D8F"/>
    <w:rsid w:val="00C323F0"/>
    <w:rsid w:val="00C33385"/>
    <w:rsid w:val="00C337F7"/>
    <w:rsid w:val="00C459A9"/>
    <w:rsid w:val="00C47D20"/>
    <w:rsid w:val="00C547B3"/>
    <w:rsid w:val="00C56D3F"/>
    <w:rsid w:val="00C61690"/>
    <w:rsid w:val="00C703C1"/>
    <w:rsid w:val="00C85D9B"/>
    <w:rsid w:val="00C93C4D"/>
    <w:rsid w:val="00C95067"/>
    <w:rsid w:val="00CA173F"/>
    <w:rsid w:val="00CA4A4E"/>
    <w:rsid w:val="00CB28C6"/>
    <w:rsid w:val="00CB52BA"/>
    <w:rsid w:val="00CB79E9"/>
    <w:rsid w:val="00CC035F"/>
    <w:rsid w:val="00CC213B"/>
    <w:rsid w:val="00CD09B2"/>
    <w:rsid w:val="00CD4449"/>
    <w:rsid w:val="00CE349E"/>
    <w:rsid w:val="00CE6252"/>
    <w:rsid w:val="00CE6705"/>
    <w:rsid w:val="00CF01DD"/>
    <w:rsid w:val="00CF7DFF"/>
    <w:rsid w:val="00D06874"/>
    <w:rsid w:val="00D072BF"/>
    <w:rsid w:val="00D17EBF"/>
    <w:rsid w:val="00D27116"/>
    <w:rsid w:val="00D31DB9"/>
    <w:rsid w:val="00D45459"/>
    <w:rsid w:val="00D571CD"/>
    <w:rsid w:val="00D6164B"/>
    <w:rsid w:val="00D63572"/>
    <w:rsid w:val="00D7114A"/>
    <w:rsid w:val="00D834E3"/>
    <w:rsid w:val="00D84B72"/>
    <w:rsid w:val="00D9426F"/>
    <w:rsid w:val="00D95015"/>
    <w:rsid w:val="00DA0C63"/>
    <w:rsid w:val="00DA2754"/>
    <w:rsid w:val="00DA4D94"/>
    <w:rsid w:val="00DB6CE0"/>
    <w:rsid w:val="00DC0E0C"/>
    <w:rsid w:val="00DC2B3A"/>
    <w:rsid w:val="00DC5C6C"/>
    <w:rsid w:val="00DF0B96"/>
    <w:rsid w:val="00E01F13"/>
    <w:rsid w:val="00E06A14"/>
    <w:rsid w:val="00E13E99"/>
    <w:rsid w:val="00E15EB2"/>
    <w:rsid w:val="00E30010"/>
    <w:rsid w:val="00E32023"/>
    <w:rsid w:val="00E33FE8"/>
    <w:rsid w:val="00E3587B"/>
    <w:rsid w:val="00E509A7"/>
    <w:rsid w:val="00E52B79"/>
    <w:rsid w:val="00E60B80"/>
    <w:rsid w:val="00E63030"/>
    <w:rsid w:val="00E751C5"/>
    <w:rsid w:val="00E84C55"/>
    <w:rsid w:val="00E90DE7"/>
    <w:rsid w:val="00EA3DE7"/>
    <w:rsid w:val="00EA61F9"/>
    <w:rsid w:val="00EB4767"/>
    <w:rsid w:val="00EB5B00"/>
    <w:rsid w:val="00EC085F"/>
    <w:rsid w:val="00EC25D4"/>
    <w:rsid w:val="00EC2BD3"/>
    <w:rsid w:val="00EC3DC3"/>
    <w:rsid w:val="00EC45D0"/>
    <w:rsid w:val="00EC782F"/>
    <w:rsid w:val="00ED633C"/>
    <w:rsid w:val="00ED665F"/>
    <w:rsid w:val="00EE08B5"/>
    <w:rsid w:val="00EE5274"/>
    <w:rsid w:val="00EE598B"/>
    <w:rsid w:val="00EE5D16"/>
    <w:rsid w:val="00EE6E22"/>
    <w:rsid w:val="00F03AB8"/>
    <w:rsid w:val="00F1142D"/>
    <w:rsid w:val="00F15052"/>
    <w:rsid w:val="00F16BCC"/>
    <w:rsid w:val="00F207A2"/>
    <w:rsid w:val="00F236D1"/>
    <w:rsid w:val="00F3060B"/>
    <w:rsid w:val="00F37A13"/>
    <w:rsid w:val="00F414BF"/>
    <w:rsid w:val="00F41C6F"/>
    <w:rsid w:val="00F551FE"/>
    <w:rsid w:val="00F574AB"/>
    <w:rsid w:val="00F67495"/>
    <w:rsid w:val="00F72676"/>
    <w:rsid w:val="00F75FC4"/>
    <w:rsid w:val="00F76203"/>
    <w:rsid w:val="00F8305B"/>
    <w:rsid w:val="00F93F8A"/>
    <w:rsid w:val="00FA3289"/>
    <w:rsid w:val="00FB0599"/>
    <w:rsid w:val="00FB1B62"/>
    <w:rsid w:val="00FB33DF"/>
    <w:rsid w:val="00FC1EA4"/>
    <w:rsid w:val="00FD0B4B"/>
    <w:rsid w:val="00FD5972"/>
    <w:rsid w:val="00FE43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2877"/>
  <w15:chartTrackingRefBased/>
  <w15:docId w15:val="{AD63A8B5-2CCB-49C3-BB58-08713761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3CE"/>
    <w:pPr>
      <w:spacing w:after="12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BF5"/>
    <w:pPr>
      <w:tabs>
        <w:tab w:val="center" w:pos="4513"/>
        <w:tab w:val="right" w:pos="9026"/>
      </w:tabs>
      <w:spacing w:after="0"/>
    </w:pPr>
  </w:style>
  <w:style w:type="character" w:customStyle="1" w:styleId="HeaderChar">
    <w:name w:val="Header Char"/>
    <w:basedOn w:val="DefaultParagraphFont"/>
    <w:link w:val="Header"/>
    <w:uiPriority w:val="99"/>
    <w:rsid w:val="00146BF5"/>
  </w:style>
  <w:style w:type="paragraph" w:styleId="Footer">
    <w:name w:val="footer"/>
    <w:basedOn w:val="Normal"/>
    <w:link w:val="FooterChar"/>
    <w:uiPriority w:val="99"/>
    <w:unhideWhenUsed/>
    <w:rsid w:val="00146BF5"/>
    <w:pPr>
      <w:tabs>
        <w:tab w:val="center" w:pos="4513"/>
        <w:tab w:val="right" w:pos="9026"/>
      </w:tabs>
      <w:spacing w:after="0"/>
    </w:pPr>
  </w:style>
  <w:style w:type="character" w:customStyle="1" w:styleId="FooterChar">
    <w:name w:val="Footer Char"/>
    <w:basedOn w:val="DefaultParagraphFont"/>
    <w:link w:val="Footer"/>
    <w:uiPriority w:val="99"/>
    <w:rsid w:val="00146BF5"/>
  </w:style>
  <w:style w:type="paragraph" w:styleId="BodyText">
    <w:name w:val="Body Text"/>
    <w:basedOn w:val="Normal"/>
    <w:link w:val="BodyTextChar"/>
    <w:rsid w:val="00146BF5"/>
    <w:pPr>
      <w:jc w:val="both"/>
    </w:pPr>
    <w:rPr>
      <w:rFonts w:eastAsia="Times New Roman" w:cs="Times New Roman"/>
      <w:szCs w:val="20"/>
      <w:lang w:eastAsia="en-AU"/>
    </w:rPr>
  </w:style>
  <w:style w:type="character" w:customStyle="1" w:styleId="BodyTextChar">
    <w:name w:val="Body Text Char"/>
    <w:basedOn w:val="DefaultParagraphFont"/>
    <w:link w:val="BodyText"/>
    <w:rsid w:val="00146BF5"/>
    <w:rPr>
      <w:rFonts w:ascii="Arial" w:eastAsia="Times New Roman" w:hAnsi="Arial" w:cs="Times New Roman"/>
      <w:szCs w:val="20"/>
      <w:lang w:eastAsia="en-AU"/>
    </w:rPr>
  </w:style>
  <w:style w:type="table" w:styleId="TableGrid">
    <w:name w:val="Table Grid"/>
    <w:basedOn w:val="TableNormal"/>
    <w:rsid w:val="00146BF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6BF5"/>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ubject">
    <w:name w:val="Subject"/>
    <w:basedOn w:val="Normal"/>
    <w:next w:val="BodyText"/>
    <w:link w:val="SubjectChar"/>
    <w:rsid w:val="00B81CA4"/>
    <w:pPr>
      <w:spacing w:after="220"/>
    </w:pPr>
    <w:rPr>
      <w:rFonts w:ascii="Univers Condensed" w:eastAsia="Times New Roman" w:hAnsi="Univers Condensed" w:cs="Times New Roman"/>
      <w:b/>
      <w:spacing w:val="-4"/>
      <w:sz w:val="26"/>
      <w:szCs w:val="26"/>
      <w:lang w:eastAsia="en-AU"/>
    </w:rPr>
  </w:style>
  <w:style w:type="character" w:customStyle="1" w:styleId="SubjectChar">
    <w:name w:val="Subject Char"/>
    <w:link w:val="Subject"/>
    <w:rsid w:val="00B81CA4"/>
    <w:rPr>
      <w:rFonts w:ascii="Univers Condensed" w:eastAsia="Times New Roman" w:hAnsi="Univers Condensed" w:cs="Times New Roman"/>
      <w:b/>
      <w:spacing w:val="-4"/>
      <w:sz w:val="26"/>
      <w:szCs w:val="26"/>
      <w:lang w:eastAsia="en-AU"/>
    </w:rPr>
  </w:style>
  <w:style w:type="paragraph" w:styleId="ListParagraph">
    <w:name w:val="List Paragraph"/>
    <w:basedOn w:val="Normal"/>
    <w:uiPriority w:val="34"/>
    <w:qFormat/>
    <w:rsid w:val="008E6608"/>
    <w:pPr>
      <w:ind w:left="720"/>
      <w:contextualSpacing/>
    </w:pPr>
  </w:style>
  <w:style w:type="paragraph" w:customStyle="1" w:styleId="GeacExtract1">
    <w:name w:val="GeacExtract1"/>
    <w:basedOn w:val="Normal"/>
    <w:rsid w:val="004D7A0B"/>
    <w:rPr>
      <w:rFonts w:eastAsia="Calibri" w:cs="Times New Roman"/>
    </w:rPr>
  </w:style>
  <w:style w:type="character" w:styleId="Hyperlink">
    <w:name w:val="Hyperlink"/>
    <w:basedOn w:val="DefaultParagraphFont"/>
    <w:uiPriority w:val="99"/>
    <w:unhideWhenUsed/>
    <w:rsid w:val="0007606D"/>
    <w:rPr>
      <w:color w:val="0563C1" w:themeColor="hyperlink"/>
      <w:u w:val="single"/>
    </w:rPr>
  </w:style>
  <w:style w:type="character" w:customStyle="1" w:styleId="UnresolvedMention1">
    <w:name w:val="Unresolved Mention1"/>
    <w:basedOn w:val="DefaultParagraphFont"/>
    <w:uiPriority w:val="99"/>
    <w:semiHidden/>
    <w:unhideWhenUsed/>
    <w:rsid w:val="0007606D"/>
    <w:rPr>
      <w:color w:val="605E5C"/>
      <w:shd w:val="clear" w:color="auto" w:fill="E1DFDD"/>
    </w:rPr>
  </w:style>
  <w:style w:type="character" w:styleId="FollowedHyperlink">
    <w:name w:val="FollowedHyperlink"/>
    <w:basedOn w:val="DefaultParagraphFont"/>
    <w:uiPriority w:val="99"/>
    <w:semiHidden/>
    <w:unhideWhenUsed/>
    <w:rsid w:val="00043EF8"/>
    <w:rPr>
      <w:color w:val="954F72" w:themeColor="followedHyperlink"/>
      <w:u w:val="single"/>
    </w:rPr>
  </w:style>
  <w:style w:type="character" w:styleId="Emphasis">
    <w:name w:val="Emphasis"/>
    <w:qFormat/>
    <w:rsid w:val="00D27116"/>
    <w:rPr>
      <w:rFonts w:ascii="Calibri" w:hAnsi="Calibri"/>
      <w:b/>
      <w:i/>
      <w:iCs/>
    </w:rPr>
  </w:style>
  <w:style w:type="paragraph" w:styleId="NoSpacing">
    <w:name w:val="No Spacing"/>
    <w:basedOn w:val="Normal"/>
    <w:uiPriority w:val="1"/>
    <w:qFormat/>
    <w:rsid w:val="00D27116"/>
    <w:rPr>
      <w:rFonts w:eastAsia="Calibri" w:cs="Times New Roman"/>
      <w:szCs w:val="32"/>
    </w:rPr>
  </w:style>
  <w:style w:type="paragraph" w:customStyle="1" w:styleId="79CHeading1">
    <w:name w:val="79C Heading 1"/>
    <w:basedOn w:val="Normal"/>
    <w:next w:val="Normal"/>
    <w:rsid w:val="00D27116"/>
    <w:pPr>
      <w:keepNext/>
      <w:keepLines/>
      <w:numPr>
        <w:numId w:val="5"/>
      </w:numPr>
      <w:pBdr>
        <w:bottom w:val="single" w:sz="4" w:space="1" w:color="auto"/>
      </w:pBdr>
      <w:spacing w:before="240"/>
    </w:pPr>
    <w:rPr>
      <w:rFonts w:eastAsia="Times New Roman" w:cs="Times New Roman"/>
      <w:b/>
      <w:caps/>
      <w:sz w:val="24"/>
      <w:szCs w:val="20"/>
    </w:rPr>
  </w:style>
  <w:style w:type="paragraph" w:customStyle="1" w:styleId="79CHeading2">
    <w:name w:val="79C Heading 2"/>
    <w:basedOn w:val="Normal"/>
    <w:next w:val="Normal"/>
    <w:rsid w:val="00D27116"/>
    <w:pPr>
      <w:keepNext/>
      <w:keepLines/>
      <w:numPr>
        <w:ilvl w:val="1"/>
        <w:numId w:val="5"/>
      </w:numPr>
      <w:spacing w:before="240"/>
    </w:pPr>
    <w:rPr>
      <w:rFonts w:eastAsia="Times New Roman" w:cs="Times New Roman"/>
      <w:b/>
      <w:caps/>
      <w:sz w:val="24"/>
      <w:szCs w:val="20"/>
    </w:rPr>
  </w:style>
  <w:style w:type="paragraph" w:customStyle="1" w:styleId="79CHeading3">
    <w:name w:val="79C Heading 3"/>
    <w:basedOn w:val="Normal"/>
    <w:next w:val="Normal"/>
    <w:rsid w:val="00D27116"/>
    <w:pPr>
      <w:keepNext/>
      <w:keepLines/>
      <w:numPr>
        <w:ilvl w:val="2"/>
        <w:numId w:val="5"/>
      </w:numPr>
      <w:tabs>
        <w:tab w:val="num" w:pos="360"/>
      </w:tabs>
      <w:spacing w:before="120"/>
      <w:ind w:left="360" w:hanging="360"/>
    </w:pPr>
    <w:rPr>
      <w:rFonts w:ascii="Univers Condensed" w:eastAsia="Times New Roman" w:hAnsi="Univers Condensed" w:cs="Times New Roman"/>
      <w:caps/>
      <w:sz w:val="28"/>
      <w:szCs w:val="20"/>
    </w:rPr>
  </w:style>
  <w:style w:type="character" w:customStyle="1" w:styleId="79CNormalChar">
    <w:name w:val="79C Normal Char"/>
    <w:link w:val="79CNormal"/>
    <w:locked/>
    <w:rsid w:val="00D27116"/>
    <w:rPr>
      <w:rFonts w:ascii="Arial" w:eastAsia="Times New Roman" w:hAnsi="Arial"/>
    </w:rPr>
  </w:style>
  <w:style w:type="paragraph" w:customStyle="1" w:styleId="79CNormal">
    <w:name w:val="79C Normal"/>
    <w:link w:val="79CNormalChar"/>
    <w:rsid w:val="00D27116"/>
    <w:pPr>
      <w:spacing w:after="120" w:line="240" w:lineRule="auto"/>
    </w:pPr>
    <w:rPr>
      <w:rFonts w:ascii="Arial" w:eastAsia="Times New Roman" w:hAnsi="Arial"/>
    </w:rPr>
  </w:style>
  <w:style w:type="character" w:customStyle="1" w:styleId="DummyText">
    <w:name w:val="DummyText"/>
    <w:rsid w:val="00D27116"/>
    <w:rPr>
      <w:color w:val="FF0000"/>
    </w:rPr>
  </w:style>
  <w:style w:type="numbering" w:customStyle="1" w:styleId="HeadingList">
    <w:name w:val="Heading List"/>
    <w:rsid w:val="00D27116"/>
    <w:pPr>
      <w:numPr>
        <w:numId w:val="5"/>
      </w:numPr>
    </w:pPr>
  </w:style>
  <w:style w:type="paragraph" w:customStyle="1" w:styleId="ZSignature">
    <w:name w:val="ZSignature"/>
    <w:basedOn w:val="Normal"/>
    <w:rsid w:val="00D27116"/>
    <w:pPr>
      <w:keepNext/>
      <w:spacing w:after="0"/>
    </w:pPr>
    <w:rPr>
      <w:rFonts w:ascii="Garamond" w:eastAsia="Calibri" w:hAnsi="Garamond" w:cs="Times New Roman"/>
      <w:szCs w:val="24"/>
      <w:lang w:eastAsia="en-AU"/>
    </w:rPr>
  </w:style>
  <w:style w:type="paragraph" w:customStyle="1" w:styleId="Bul">
    <w:name w:val="Bul"/>
    <w:basedOn w:val="Normal"/>
    <w:qFormat/>
    <w:rsid w:val="00B83944"/>
  </w:style>
  <w:style w:type="paragraph" w:customStyle="1" w:styleId="Bullet1">
    <w:name w:val="Bullet 1"/>
    <w:basedOn w:val="Normal"/>
    <w:qFormat/>
    <w:rsid w:val="001A26D7"/>
    <w:pPr>
      <w:numPr>
        <w:numId w:val="7"/>
      </w:numPr>
      <w:ind w:left="567" w:hanging="567"/>
    </w:pPr>
  </w:style>
  <w:style w:type="paragraph" w:styleId="Caption">
    <w:name w:val="caption"/>
    <w:basedOn w:val="Normal"/>
    <w:next w:val="Normal"/>
    <w:uiPriority w:val="35"/>
    <w:unhideWhenUsed/>
    <w:qFormat/>
    <w:rsid w:val="008E1B3F"/>
    <w:pPr>
      <w:spacing w:after="200"/>
    </w:pPr>
    <w:rPr>
      <w:i/>
      <w:iCs/>
      <w:color w:val="44546A" w:themeColor="text2"/>
      <w:sz w:val="18"/>
      <w:szCs w:val="18"/>
    </w:rPr>
  </w:style>
  <w:style w:type="table" w:customStyle="1" w:styleId="Tableb">
    <w:name w:val="Table b"/>
    <w:basedOn w:val="TableNormal"/>
    <w:rsid w:val="00CA4A4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F3F3F3"/>
      </w:tcPr>
    </w:tblStylePr>
  </w:style>
  <w:style w:type="character" w:styleId="CommentReference">
    <w:name w:val="annotation reference"/>
    <w:basedOn w:val="DefaultParagraphFont"/>
    <w:uiPriority w:val="99"/>
    <w:semiHidden/>
    <w:unhideWhenUsed/>
    <w:rsid w:val="001A0501"/>
    <w:rPr>
      <w:sz w:val="16"/>
      <w:szCs w:val="16"/>
    </w:rPr>
  </w:style>
  <w:style w:type="paragraph" w:styleId="CommentText">
    <w:name w:val="annotation text"/>
    <w:basedOn w:val="Normal"/>
    <w:link w:val="CommentTextChar"/>
    <w:uiPriority w:val="99"/>
    <w:semiHidden/>
    <w:unhideWhenUsed/>
    <w:rsid w:val="001A0501"/>
    <w:rPr>
      <w:szCs w:val="20"/>
    </w:rPr>
  </w:style>
  <w:style w:type="character" w:customStyle="1" w:styleId="CommentTextChar">
    <w:name w:val="Comment Text Char"/>
    <w:basedOn w:val="DefaultParagraphFont"/>
    <w:link w:val="CommentText"/>
    <w:uiPriority w:val="99"/>
    <w:semiHidden/>
    <w:rsid w:val="001A050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A0501"/>
    <w:rPr>
      <w:b/>
      <w:bCs/>
    </w:rPr>
  </w:style>
  <w:style w:type="character" w:customStyle="1" w:styleId="CommentSubjectChar">
    <w:name w:val="Comment Subject Char"/>
    <w:basedOn w:val="CommentTextChar"/>
    <w:link w:val="CommentSubject"/>
    <w:uiPriority w:val="99"/>
    <w:semiHidden/>
    <w:rsid w:val="001A050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5D6AF-EDF6-4852-902D-A2900FC11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7</Pages>
  <Words>2511</Words>
  <Characters>14314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WLPP Finalisation Report - DA-2021-1117</vt:lpstr>
    </vt:vector>
  </TitlesOfParts>
  <Company>Wollongong City Council</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WLPP Finalisation Report - DA-2021-1117</dc:title>
  <dc:creator>Wollongong City Council</dc:creator>
  <dc:description>Created by TechnologyOne - 2105.12.0.156.0</dc:description>
  <cp:lastModifiedBy>Nigel Lamb</cp:lastModifiedBy>
  <cp:revision>174</cp:revision>
  <dcterms:created xsi:type="dcterms:W3CDTF">2022-09-11T22:34:00Z</dcterms:created>
  <dcterms:modified xsi:type="dcterms:W3CDTF">2022-09-27T00:03:00Z</dcterms:modified>
</cp:coreProperties>
</file>